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82" w:rsidRPr="00AC3D48" w:rsidRDefault="0037527F" w:rsidP="00F70B82">
      <w:pPr>
        <w:pStyle w:val="Heading4"/>
        <w:rPr>
          <w:kern w:val="36"/>
          <w:sz w:val="48"/>
          <w:szCs w:val="48"/>
          <w:lang w:val="en" w:eastAsia="en-GB"/>
        </w:rPr>
      </w:pPr>
      <w:bookmarkStart w:id="0" w:name="_GoBack"/>
      <w:bookmarkEnd w:id="0"/>
      <w:r w:rsidRPr="00AC3D48">
        <w:rPr>
          <w:kern w:val="36"/>
          <w:sz w:val="48"/>
          <w:szCs w:val="48"/>
          <w:lang w:val="en" w:eastAsia="en-GB"/>
        </w:rPr>
        <w:t>GOODS VEHICLE OPERATOR’S LICENCE</w:t>
      </w:r>
    </w:p>
    <w:p w:rsidR="002A3A59" w:rsidRPr="00AC3D48" w:rsidRDefault="002A3A59">
      <w:pPr>
        <w:rPr>
          <w:sz w:val="20"/>
          <w:szCs w:val="20"/>
          <w:lang w:val="en"/>
        </w:rPr>
      </w:pPr>
    </w:p>
    <w:p w:rsidR="002A3A59" w:rsidRPr="00AC3D48" w:rsidRDefault="002A3A59">
      <w:pPr>
        <w:pStyle w:val="Heading4"/>
      </w:pPr>
      <w:r w:rsidRPr="00AC3D48">
        <w:t>THIS LICENCE MUST NOT BE ALTERED OR DEFACED IN ANY WAY</w:t>
      </w:r>
    </w:p>
    <w:p w:rsidR="002A3A59" w:rsidRPr="00AC3D48" w:rsidRDefault="002A3A59">
      <w:pPr>
        <w:jc w:val="center"/>
        <w:rPr>
          <w:sz w:val="20"/>
          <w:szCs w:val="20"/>
        </w:rPr>
      </w:pPr>
    </w:p>
    <w:p w:rsidR="002A3A59" w:rsidRPr="00AC3D48" w:rsidRDefault="002A3A59">
      <w:pPr>
        <w:tabs>
          <w:tab w:val="left" w:pos="720"/>
          <w:tab w:val="left" w:pos="1440"/>
          <w:tab w:val="left" w:pos="2160"/>
          <w:tab w:val="left" w:pos="2880"/>
          <w:tab w:val="left" w:pos="3600"/>
          <w:tab w:val="left" w:pos="5025"/>
          <w:tab w:val="left" w:pos="5145"/>
        </w:tabs>
      </w:pPr>
      <w:r w:rsidRPr="00AC3D48">
        <w:t>Issued to:</w:t>
      </w:r>
      <w:r w:rsidRPr="00AC3D48">
        <w:tab/>
      </w:r>
      <w:r w:rsidRPr="00AC3D48">
        <w:tab/>
      </w:r>
      <w:r w:rsidRPr="00AC3D48">
        <w:tab/>
      </w:r>
      <w:r w:rsidRPr="00AC3D48">
        <w:tab/>
      </w:r>
      <w:r w:rsidRPr="00AC3D48">
        <w:tab/>
      </w:r>
      <w:r w:rsidR="0037527F" w:rsidRPr="00AC3D48">
        <w:tab/>
        <w:t xml:space="preserve">     </w:t>
      </w:r>
      <w:r w:rsidR="0037527F" w:rsidRPr="00AC3D48">
        <w:t xml:space="preserve"> </w:t>
      </w:r>
      <w:r w:rsidRPr="00AC3D48">
        <w:t>Issued by:</w:t>
      </w:r>
      <w:r w:rsidRPr="00AC3D48">
        <w:tab/>
      </w:r>
    </w:p>
    <w:p w:rsidR="002A3A59" w:rsidRPr="00AC3D48" w:rsidRDefault="002A3A59">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2"/>
        <w:gridCol w:w="238"/>
        <w:gridCol w:w="4258"/>
      </w:tblGrid>
      <w:tr w:rsidR="006F182D" w:rsidRPr="00AC3D48" w:rsidTr="00AC401C">
        <w:trPr>
          <w:trHeight w:val="2158"/>
        </w:trPr>
        <w:tc>
          <w:tcPr>
            <w:tcW w:w="4802" w:type="dxa"/>
          </w:tcPr>
          <w:p w:rsidR="006F182D" w:rsidRPr="00AC3D48" w:rsidRDefault="0037527F" w:rsidP="00262B03">
            <w:pPr>
              <w:pStyle w:val="Heading2"/>
              <w:outlineLvl w:val="1"/>
            </w:pPr>
            <w:r w:rsidRPr="00AC3D48">
              <w:t>BENN HALL</w:t>
            </w:r>
          </w:p>
          <w:p w:rsidR="006F182D" w:rsidRPr="00AC3D48" w:rsidRDefault="0037527F" w:rsidP="00262B03">
            <w:pPr>
              <w:pStyle w:val="Heading2"/>
              <w:outlineLvl w:val="1"/>
            </w:pPr>
            <w:r w:rsidRPr="00AC3D48">
              <w:t>MOULDING SOLUTIONS LTD</w:t>
            </w:r>
          </w:p>
          <w:p w:rsidR="006F182D" w:rsidRPr="00AC3D48" w:rsidRDefault="0037527F" w:rsidP="00262B03">
            <w:pPr>
              <w:pStyle w:val="Heading2"/>
              <w:outlineLvl w:val="1"/>
            </w:pPr>
            <w:r w:rsidRPr="00AC3D48">
              <w:t>WHARF ROAD</w:t>
            </w:r>
          </w:p>
          <w:p w:rsidR="006F182D" w:rsidRPr="00AC3D48" w:rsidRDefault="0037527F" w:rsidP="00262B03">
            <w:pPr>
              <w:pStyle w:val="Heading2"/>
              <w:outlineLvl w:val="1"/>
            </w:pPr>
            <w:r w:rsidRPr="00AC3D48">
              <w:t>KILNHURST</w:t>
            </w:r>
          </w:p>
          <w:p w:rsidR="006F182D" w:rsidRPr="00AC3D48" w:rsidRDefault="0037527F" w:rsidP="00262B03">
            <w:pPr>
              <w:pStyle w:val="Heading2"/>
              <w:outlineLvl w:val="1"/>
            </w:pPr>
            <w:r w:rsidRPr="00AC3D48">
              <w:t>MEXBOROUGH</w:t>
            </w:r>
          </w:p>
          <w:p w:rsidR="006F182D" w:rsidRPr="00AC3D48" w:rsidRDefault="0037527F" w:rsidP="00262B03">
            <w:pPr>
              <w:pStyle w:val="Heading2"/>
              <w:outlineLvl w:val="1"/>
            </w:pPr>
            <w:r w:rsidRPr="00AC3D48">
              <w:t>S64 5SY</w:t>
            </w:r>
          </w:p>
        </w:tc>
        <w:tc>
          <w:tcPr>
            <w:tcW w:w="113" w:type="dxa"/>
          </w:tcPr>
          <w:p w:rsidR="006F182D" w:rsidRPr="00AC3D48" w:rsidRDefault="0037527F" w:rsidP="00454579"/>
        </w:tc>
        <w:tc>
          <w:tcPr>
            <w:tcW w:w="3976" w:type="dxa"/>
          </w:tcPr>
          <w:p w:rsidR="006F182D" w:rsidRPr="00AC3D48" w:rsidRDefault="0037527F" w:rsidP="00454579">
            <w:r w:rsidRPr="00AC3D48">
              <w:t>Office of the Traffic Commissioner</w:t>
            </w:r>
          </w:p>
          <w:p w:rsidR="006F182D" w:rsidRPr="00AC3D48" w:rsidRDefault="0037527F" w:rsidP="00454579">
            <w:r w:rsidRPr="00AC3D48">
              <w:t>North East of England</w:t>
            </w:r>
          </w:p>
          <w:p w:rsidR="006F182D" w:rsidRPr="00AC3D48" w:rsidRDefault="0037527F" w:rsidP="00454579">
            <w:r w:rsidRPr="00AC3D48">
              <w:t>Hillcrest House</w:t>
            </w:r>
          </w:p>
          <w:p w:rsidR="006F182D" w:rsidRPr="00AC3D48" w:rsidRDefault="0037527F" w:rsidP="00454579">
            <w:r w:rsidRPr="00AC3D48">
              <w:t>386 Harehills Lane</w:t>
            </w:r>
          </w:p>
          <w:p w:rsidR="006F182D" w:rsidRPr="00AC3D48" w:rsidRDefault="0037527F" w:rsidP="00454579">
            <w:r w:rsidRPr="00AC3D48">
              <w:t>Leeds</w:t>
            </w:r>
          </w:p>
          <w:p w:rsidR="006F182D" w:rsidRPr="00AC3D48" w:rsidRDefault="0037527F" w:rsidP="00454579">
            <w:r w:rsidRPr="00AC3D48">
              <w:t>LS9 6NF</w:t>
            </w:r>
          </w:p>
          <w:p w:rsidR="006F182D" w:rsidRPr="00AC3D48" w:rsidRDefault="0037527F" w:rsidP="00454579">
            <w:r w:rsidRPr="00AC3D48">
              <w:t>0300 123 9000</w:t>
            </w:r>
          </w:p>
        </w:tc>
      </w:tr>
    </w:tbl>
    <w:p w:rsidR="006F182D" w:rsidRPr="00AC3D48" w:rsidRDefault="0037527F">
      <w:pPr>
        <w:tabs>
          <w:tab w:val="left" w:pos="5190"/>
        </w:tabs>
        <w:rPr>
          <w:sz w:val="20"/>
          <w:szCs w:val="20"/>
        </w:rPr>
      </w:pPr>
    </w:p>
    <w:p w:rsidR="00262B03" w:rsidRPr="00AC3D48" w:rsidRDefault="0037527F" w:rsidP="00262B03"/>
    <w:p w:rsidR="00262B03" w:rsidRPr="00AC3D48" w:rsidRDefault="0037527F" w:rsidP="00A85440">
      <w:pPr>
        <w:ind w:left="5490" w:hanging="5490"/>
        <w:jc w:val="left"/>
      </w:pPr>
      <w:r w:rsidRPr="00AC3D48">
        <w:t>Goods Vehicle Restricted</w:t>
      </w:r>
      <w:r w:rsidRPr="00AC3D48">
        <w:tab/>
      </w:r>
      <w:r w:rsidRPr="00AC3D48">
        <w:t>Licence</w:t>
      </w:r>
      <w:r w:rsidRPr="00AC3D48">
        <w:t xml:space="preserve"> </w:t>
      </w:r>
      <w:r w:rsidRPr="00AC3D48">
        <w:t>number: OB1053933</w:t>
      </w:r>
    </w:p>
    <w:p w:rsidR="00262B03" w:rsidRPr="00AC3D48" w:rsidRDefault="0037527F" w:rsidP="00262B03">
      <w:pPr>
        <w:pStyle w:val="Heading2"/>
        <w:ind w:left="5040"/>
      </w:pPr>
      <w:r w:rsidRPr="00AC3D48">
        <w:t xml:space="preserve">       NOT TRANSFERABLE</w:t>
      </w:r>
    </w:p>
    <w:p w:rsidR="007A65A1" w:rsidRPr="00AC3D48" w:rsidRDefault="0037527F" w:rsidP="007A65A1">
      <w:pPr>
        <w:rPr>
          <w:sz w:val="20"/>
          <w:szCs w:val="20"/>
        </w:rPr>
      </w:pPr>
    </w:p>
    <w:p w:rsidR="00262B03" w:rsidRPr="00AC3D48" w:rsidRDefault="0037527F" w:rsidP="007A65A1">
      <w:pPr>
        <w:rPr>
          <w:sz w:val="20"/>
          <w:szCs w:val="20"/>
        </w:rPr>
      </w:pPr>
    </w:p>
    <w:p w:rsidR="007A65A1" w:rsidRPr="00AC3D48" w:rsidRDefault="0037527F" w:rsidP="007A65A1">
      <w:r w:rsidRPr="00AC3D48">
        <w:t>This licence is in force from:</w:t>
      </w:r>
      <w:r w:rsidRPr="00AC3D48">
        <w:t xml:space="preserve">   </w:t>
      </w:r>
      <w:r w:rsidRPr="00AC3D48">
        <w:tab/>
      </w:r>
      <w:r w:rsidRPr="00AC3D48">
        <w:tab/>
      </w:r>
      <w:r w:rsidRPr="00AC3D48">
        <w:tab/>
        <w:t xml:space="preserve">   </w:t>
      </w:r>
      <w:r w:rsidRPr="00AC3D48">
        <w:t xml:space="preserve">    </w:t>
      </w:r>
      <w:r w:rsidRPr="00AC3D48">
        <w:t>20/01/2006</w:t>
      </w:r>
    </w:p>
    <w:p w:rsidR="007A65A1" w:rsidRPr="00AC3D48" w:rsidRDefault="0037527F" w:rsidP="007A65A1"/>
    <w:p w:rsidR="002C33AF" w:rsidRPr="00AC3D48" w:rsidRDefault="0037527F">
      <w:pPr>
        <w:rPr>
          <w:sz w:val="22"/>
          <w:szCs w:val="22"/>
        </w:rPr>
      </w:pPr>
      <w:r w:rsidRPr="00AC3D48">
        <w:rPr>
          <w:sz w:val="22"/>
          <w:szCs w:val="22"/>
        </w:rPr>
        <w:t>This licence will continue for as long as you continue to meet its terms. However, it will come to an end if you do not pay the necessary continuation fee by the date required</w:t>
      </w:r>
      <w:r w:rsidRPr="00AC3D48">
        <w:rPr>
          <w:sz w:val="22"/>
          <w:szCs w:val="22"/>
        </w:rPr>
        <w:t>. The licence may also face regulatory action including revocation if you operate outside its terms. You have paid for an initial period of five years, which starts with the date the licence was issued. The continuation fee must be paid before the end of t</w:t>
      </w:r>
      <w:r w:rsidRPr="00AC3D48">
        <w:rPr>
          <w:sz w:val="22"/>
          <w:szCs w:val="22"/>
        </w:rPr>
        <w:t xml:space="preserve">he month before that </w:t>
      </w:r>
      <w:proofErr w:type="gramStart"/>
      <w:r w:rsidRPr="00AC3D48">
        <w:rPr>
          <w:sz w:val="22"/>
          <w:szCs w:val="22"/>
        </w:rPr>
        <w:t>five year</w:t>
      </w:r>
      <w:proofErr w:type="gramEnd"/>
      <w:r w:rsidRPr="00AC3D48">
        <w:rPr>
          <w:sz w:val="22"/>
          <w:szCs w:val="22"/>
        </w:rPr>
        <w:t xml:space="preserve"> period comes to an end and every five years after that. Please see note 1 for further details.</w:t>
      </w:r>
    </w:p>
    <w:p w:rsidR="00F62D86" w:rsidRPr="00AC3D48" w:rsidRDefault="0037527F">
      <w:pPr>
        <w:rPr>
          <w:sz w:val="20"/>
          <w:szCs w:val="20"/>
        </w:rPr>
      </w:pPr>
    </w:p>
    <w:p w:rsidR="002A3A59" w:rsidRPr="00AC3D48" w:rsidRDefault="002A3A59">
      <w:pPr>
        <w:rPr>
          <w:sz w:val="22"/>
          <w:szCs w:val="22"/>
        </w:rPr>
      </w:pPr>
      <w:r w:rsidRPr="00AC3D48">
        <w:rPr>
          <w:sz w:val="22"/>
          <w:szCs w:val="22"/>
        </w:rPr>
        <w:t>This document is an operator’s licence issued under the Goods Vehicles (Licensing of Operators) Act 1995 (the Act</w:t>
      </w:r>
      <w:proofErr w:type="gramStart"/>
      <w:r w:rsidRPr="00AC3D48">
        <w:rPr>
          <w:sz w:val="22"/>
          <w:szCs w:val="22"/>
        </w:rPr>
        <w:t>).The</w:t>
      </w:r>
      <w:proofErr w:type="gramEnd"/>
      <w:r w:rsidRPr="00AC3D48">
        <w:rPr>
          <w:sz w:val="22"/>
          <w:szCs w:val="22"/>
        </w:rPr>
        <w:t xml:space="preserve"> undertakings recorded in this licence have been given by the licence holder and are considered to be material to the grant of the licence. In the case of a licence first issued before 1 January 1996, the recorded undertakings include statements of intent made by the operator.</w:t>
      </w:r>
    </w:p>
    <w:p w:rsidR="002A3A59" w:rsidRPr="00AC3D48" w:rsidRDefault="002A3A59">
      <w:pPr>
        <w:pStyle w:val="BodyText"/>
        <w:rPr>
          <w:sz w:val="20"/>
          <w:szCs w:val="20"/>
        </w:rPr>
      </w:pPr>
    </w:p>
    <w:p w:rsidR="002A3A59" w:rsidRPr="00AC3D48" w:rsidRDefault="002A3A59">
      <w:pPr>
        <w:pStyle w:val="BodyText"/>
        <w:rPr>
          <w:sz w:val="22"/>
          <w:szCs w:val="22"/>
        </w:rPr>
      </w:pPr>
      <w:r w:rsidRPr="00AC3D48">
        <w:rPr>
          <w:sz w:val="22"/>
          <w:szCs w:val="22"/>
        </w:rPr>
        <w:t>The maximum number of motor vehicles and trailers authorised in accordance with section 6 of the Act is:</w:t>
      </w:r>
    </w:p>
    <w:p w:rsidR="002A3A59" w:rsidRPr="00AC3D48" w:rsidRDefault="002A3A59">
      <w:pPr>
        <w:pStyle w:val="BodyText"/>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1922"/>
      </w:tblGrid>
      <w:tr w:rsidR="00B15EA2" w:rsidRPr="00AC3D48" w:rsidTr="00F70B82">
        <w:trPr>
          <w:trHeight w:val="541"/>
          <w:jc w:val="center"/>
        </w:trPr>
        <w:tc>
          <w:tcPr>
            <w:tcW w:w="3600" w:type="dxa"/>
            <w:vAlign w:val="center"/>
          </w:tcPr>
          <w:p w:rsidR="00B15EA2" w:rsidRPr="00AC3D48" w:rsidRDefault="0037527F" w:rsidP="00BB6E15">
            <w:pPr>
              <w:rPr>
                <w:b/>
                <w:sz w:val="22"/>
                <w:szCs w:val="22"/>
              </w:rPr>
            </w:pPr>
            <w:r w:rsidRPr="00AC3D48">
              <w:rPr>
                <w:b/>
                <w:sz w:val="22"/>
                <w:szCs w:val="22"/>
              </w:rPr>
              <w:t>Motor vehicles</w:t>
            </w:r>
          </w:p>
        </w:tc>
        <w:tc>
          <w:tcPr>
            <w:tcW w:w="1922" w:type="dxa"/>
            <w:vAlign w:val="center"/>
          </w:tcPr>
          <w:p w:rsidR="00B15EA2" w:rsidRPr="00AC3D48" w:rsidRDefault="0037527F" w:rsidP="00BB6E15">
            <w:pPr>
              <w:rPr>
                <w:b/>
              </w:rPr>
            </w:pPr>
            <w:r w:rsidRPr="00AC3D48">
              <w:rPr>
                <w:b/>
              </w:rPr>
              <w:t>10</w:t>
            </w:r>
          </w:p>
        </w:tc>
      </w:tr>
      <w:tr w:rsidR="00B15EA2" w:rsidRPr="00AC3D48" w:rsidTr="00F70B82">
        <w:trPr>
          <w:trHeight w:val="541"/>
          <w:jc w:val="center"/>
        </w:trPr>
        <w:tc>
          <w:tcPr>
            <w:tcW w:w="3600" w:type="dxa"/>
            <w:vAlign w:val="center"/>
          </w:tcPr>
          <w:p w:rsidR="00B15EA2" w:rsidRPr="00AC3D48" w:rsidRDefault="0037527F" w:rsidP="00BB6E15">
            <w:pPr>
              <w:rPr>
                <w:b/>
                <w:sz w:val="22"/>
                <w:szCs w:val="22"/>
              </w:rPr>
            </w:pPr>
            <w:r w:rsidRPr="00AC3D48">
              <w:rPr>
                <w:b/>
                <w:sz w:val="22"/>
                <w:szCs w:val="22"/>
              </w:rPr>
              <w:t>Trailers (inc semi-trailers)</w:t>
            </w:r>
          </w:p>
        </w:tc>
        <w:tc>
          <w:tcPr>
            <w:tcW w:w="1922" w:type="dxa"/>
            <w:vAlign w:val="center"/>
          </w:tcPr>
          <w:p w:rsidR="00B15EA2" w:rsidRPr="00AC3D48" w:rsidRDefault="0037527F" w:rsidP="00BB6E15">
            <w:pPr>
              <w:rPr>
                <w:b/>
              </w:rPr>
            </w:pPr>
            <w:r w:rsidRPr="00AC3D48">
              <w:rPr>
                <w:b/>
              </w:rPr>
              <w:t>10</w:t>
            </w:r>
          </w:p>
        </w:tc>
      </w:tr>
    </w:tbl>
    <w:p w:rsidR="00F62D86" w:rsidRDefault="0037527F">
      <w:pPr>
        <w:rPr>
          <w:sz w:val="20"/>
          <w:szCs w:val="20"/>
        </w:rPr>
      </w:pPr>
    </w:p>
    <w:p w:rsidR="00313E9D" w:rsidRDefault="0037527F">
      <w:pPr>
        <w:rPr>
          <w:sz w:val="20"/>
          <w:szCs w:val="20"/>
        </w:rPr>
      </w:pPr>
    </w:p>
    <w:p w:rsidR="00313E9D" w:rsidRDefault="0037527F">
      <w:pPr>
        <w:rPr>
          <w:sz w:val="20"/>
          <w:szCs w:val="20"/>
        </w:rPr>
      </w:pPr>
    </w:p>
    <w:p w:rsidR="00313E9D" w:rsidRPr="00AC3D48" w:rsidRDefault="0037527F">
      <w:pPr>
        <w:rPr>
          <w:sz w:val="20"/>
          <w:szCs w:val="20"/>
        </w:rPr>
      </w:pPr>
    </w:p>
    <w:tbl>
      <w:tblPr>
        <w:tblW w:w="5000" w:type="pct"/>
        <w:tblLook w:val="0000" w:firstRow="0" w:lastRow="0" w:firstColumn="0" w:lastColumn="0" w:noHBand="0" w:noVBand="0"/>
      </w:tblPr>
      <w:tblGrid>
        <w:gridCol w:w="4819"/>
        <w:gridCol w:w="4819"/>
      </w:tblGrid>
      <w:tr w:rsidR="00F70B82" w:rsidRPr="00AC3D48" w:rsidTr="0012489C">
        <w:tblPrEx>
          <w:tblCellMar>
            <w:top w:w="0" w:type="dxa"/>
            <w:bottom w:w="0" w:type="dxa"/>
          </w:tblCellMar>
        </w:tblPrEx>
        <w:tc>
          <w:tcPr>
            <w:tcW w:w="2500" w:type="pct"/>
            <w:tcBorders>
              <w:top w:val="nil"/>
              <w:left w:val="nil"/>
              <w:bottom w:val="nil"/>
              <w:right w:val="nil"/>
            </w:tcBorders>
          </w:tcPr>
          <w:p w:rsidR="00F70B82" w:rsidRPr="00AC3D48" w:rsidRDefault="00DB7844" w:rsidP="00AC3D48">
            <w:pPr>
              <w:rPr>
                <w:b/>
                <w:bCs/>
                <w:sz w:val="32"/>
                <w:szCs w:val="32"/>
              </w:rPr>
            </w:pPr>
            <w:r w:rsidRPr="00AC3D48">
              <w:rPr>
                <w:b/>
                <w:bCs/>
                <w:noProof/>
                <w:sz w:val="32"/>
                <w:szCs w:val="32"/>
              </w:rPr>
              <w:drawing>
                <wp:inline distT="0" distB="0" distL="0" distR="0">
                  <wp:extent cx="1314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2500" w:type="pct"/>
            <w:tcBorders>
              <w:top w:val="nil"/>
              <w:left w:val="nil"/>
              <w:bottom w:val="nil"/>
              <w:right w:val="nil"/>
            </w:tcBorders>
          </w:tcPr>
          <w:p w:rsidR="0076194B" w:rsidRPr="00AC3D48" w:rsidRDefault="0037527F" w:rsidP="0076194B">
            <w:pPr>
              <w:rPr>
                <w:b/>
                <w:bCs/>
              </w:rPr>
            </w:pPr>
          </w:p>
          <w:p w:rsidR="00313E9D" w:rsidRDefault="0037527F" w:rsidP="0076194B">
            <w:pPr>
              <w:pStyle w:val="Heading2"/>
            </w:pPr>
          </w:p>
          <w:p w:rsidR="00313E9D" w:rsidRDefault="0037527F" w:rsidP="0076194B">
            <w:pPr>
              <w:pStyle w:val="Heading2"/>
            </w:pPr>
          </w:p>
          <w:p w:rsidR="00313E9D" w:rsidRDefault="00DB7844" w:rsidP="0076194B">
            <w:pPr>
              <w:pStyle w:val="Heading2"/>
            </w:pPr>
            <w:r>
              <w:rPr>
                <w:noProof/>
              </w:rPr>
              <w:drawing>
                <wp:inline distT="0" distB="0" distL="0" distR="0">
                  <wp:extent cx="23907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p w:rsidR="00313E9D" w:rsidRDefault="0037527F" w:rsidP="0076194B">
            <w:pPr>
              <w:pStyle w:val="Heading2"/>
            </w:pPr>
          </w:p>
          <w:p w:rsidR="0076194B" w:rsidRPr="00AC3D48" w:rsidRDefault="0037527F" w:rsidP="0076194B">
            <w:pPr>
              <w:pStyle w:val="Heading2"/>
              <w:rPr>
                <w:sz w:val="22"/>
                <w:szCs w:val="22"/>
              </w:rPr>
            </w:pPr>
            <w:r w:rsidRPr="00AC3D48">
              <w:t>Traffic Commissioner</w:t>
            </w:r>
          </w:p>
        </w:tc>
      </w:tr>
    </w:tbl>
    <w:p w:rsidR="002A3A59" w:rsidRDefault="002A3A59" w:rsidP="00301EBF">
      <w:pPr>
        <w:pStyle w:val="Heading3"/>
        <w:jc w:val="left"/>
      </w:pPr>
      <w:r w:rsidRPr="00AC3D48">
        <w:br w:type="page"/>
      </w:r>
      <w:r w:rsidR="0037527F">
        <w:lastRenderedPageBreak/>
        <w:t>Operating c</w:t>
      </w:r>
      <w:r w:rsidRPr="00AC3D48">
        <w:t>entre</w:t>
      </w:r>
      <w:r w:rsidR="0037527F">
        <w:t>(</w:t>
      </w:r>
      <w:r w:rsidRPr="00AC3D48">
        <w:t>s</w:t>
      </w:r>
      <w:r w:rsidR="0037527F">
        <w:t>)</w:t>
      </w:r>
    </w:p>
    <w:p w:rsidR="00353588" w:rsidRPr="00353588" w:rsidRDefault="0037527F" w:rsidP="00353588"/>
    <w:p w:rsidR="002A3A59" w:rsidRPr="00AC3D48" w:rsidRDefault="002A3A59" w:rsidP="00301EBF">
      <w:pPr>
        <w:jc w:val="left"/>
      </w:pPr>
    </w:p>
    <w:p w:rsidR="002A3A59" w:rsidRPr="00AC3D48" w:rsidRDefault="002A3A59" w:rsidP="00301EB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3283"/>
        <w:gridCol w:w="1397"/>
        <w:gridCol w:w="720"/>
      </w:tblGrid>
      <w:tr w:rsidR="00000000">
        <w:tblPrEx>
          <w:tblCellMar>
            <w:top w:w="0" w:type="dxa"/>
            <w:bottom w:w="0" w:type="dxa"/>
          </w:tblCellMar>
        </w:tblPrEx>
        <w:trPr>
          <w:cantSplit/>
          <w:trHeight w:val="500"/>
        </w:trPr>
        <w:tc>
          <w:tcPr>
            <w:tcW w:w="3108" w:type="dxa"/>
            <w:vMerge w:val="restart"/>
          </w:tcPr>
          <w:p w:rsidR="00000000" w:rsidRDefault="0037527F">
            <w:pPr>
              <w:rPr>
                <w:b/>
              </w:rPr>
            </w:pPr>
            <w:r>
              <w:rPr>
                <w:b/>
              </w:rPr>
              <w:t>Operating Centre:</w:t>
            </w:r>
          </w:p>
        </w:tc>
        <w:tc>
          <w:tcPr>
            <w:tcW w:w="3283" w:type="dxa"/>
            <w:vMerge w:val="restart"/>
          </w:tcPr>
          <w:p w:rsidR="00000000" w:rsidRDefault="0037527F">
            <w:pPr>
              <w:rPr>
                <w:b/>
              </w:rPr>
            </w:pPr>
            <w:r>
              <w:rPr>
                <w:b/>
              </w:rPr>
              <w:t>Address:</w:t>
            </w:r>
          </w:p>
          <w:p w:rsidR="00000000" w:rsidRDefault="0037527F">
            <w:pPr>
              <w:rPr>
                <w:b/>
              </w:rPr>
            </w:pPr>
          </w:p>
          <w:p w:rsidR="00000000" w:rsidRDefault="0037527F">
            <w:pPr>
              <w:rPr>
                <w:b/>
              </w:rPr>
            </w:pPr>
            <w:r>
              <w:rPr>
                <w:b/>
              </w:rPr>
              <w:t>WHARF ROAD</w:t>
            </w:r>
          </w:p>
          <w:p w:rsidR="00000000" w:rsidRDefault="0037527F">
            <w:pPr>
              <w:rPr>
                <w:b/>
              </w:rPr>
            </w:pPr>
            <w:r>
              <w:rPr>
                <w:b/>
              </w:rPr>
              <w:t>KILNHURST</w:t>
            </w:r>
          </w:p>
          <w:p w:rsidR="00000000" w:rsidRDefault="0037527F">
            <w:pPr>
              <w:rPr>
                <w:b/>
              </w:rPr>
            </w:pPr>
            <w:r>
              <w:rPr>
                <w:b/>
              </w:rPr>
              <w:t>MEXBOROUGH</w:t>
            </w:r>
          </w:p>
          <w:p w:rsidR="00000000" w:rsidRDefault="0037527F">
            <w:pPr>
              <w:rPr>
                <w:b/>
              </w:rPr>
            </w:pPr>
            <w:r>
              <w:rPr>
                <w:b/>
              </w:rPr>
              <w:t>S64 5SY</w:t>
            </w:r>
          </w:p>
          <w:p w:rsidR="00000000" w:rsidRDefault="0037527F">
            <w:pPr>
              <w:rPr>
                <w:b/>
              </w:rPr>
            </w:pPr>
          </w:p>
        </w:tc>
        <w:tc>
          <w:tcPr>
            <w:tcW w:w="1397" w:type="dxa"/>
          </w:tcPr>
          <w:p w:rsidR="00000000" w:rsidRDefault="0037527F">
            <w:pPr>
              <w:rPr>
                <w:b/>
              </w:rPr>
            </w:pPr>
            <w:r>
              <w:rPr>
                <w:b/>
              </w:rPr>
              <w:t>Vehicles</w:t>
            </w:r>
          </w:p>
        </w:tc>
        <w:tc>
          <w:tcPr>
            <w:tcW w:w="720" w:type="dxa"/>
          </w:tcPr>
          <w:p w:rsidR="00000000" w:rsidRDefault="0037527F">
            <w:pPr>
              <w:rPr>
                <w:b/>
              </w:rPr>
            </w:pPr>
            <w:r>
              <w:rPr>
                <w:b/>
              </w:rPr>
              <w:t>10</w:t>
            </w:r>
          </w:p>
        </w:tc>
      </w:tr>
      <w:tr w:rsidR="00000000">
        <w:tblPrEx>
          <w:tblCellMar>
            <w:top w:w="0" w:type="dxa"/>
            <w:bottom w:w="0" w:type="dxa"/>
          </w:tblCellMar>
        </w:tblPrEx>
        <w:trPr>
          <w:cantSplit/>
          <w:trHeight w:val="142"/>
        </w:trPr>
        <w:tc>
          <w:tcPr>
            <w:tcW w:w="3108" w:type="dxa"/>
            <w:vMerge/>
          </w:tcPr>
          <w:p w:rsidR="00000000" w:rsidRDefault="0037527F">
            <w:pPr>
              <w:rPr>
                <w:b/>
              </w:rPr>
            </w:pPr>
          </w:p>
        </w:tc>
        <w:tc>
          <w:tcPr>
            <w:tcW w:w="3283" w:type="dxa"/>
            <w:vMerge/>
          </w:tcPr>
          <w:p w:rsidR="00000000" w:rsidRDefault="0037527F">
            <w:pPr>
              <w:rPr>
                <w:b/>
              </w:rPr>
            </w:pPr>
          </w:p>
        </w:tc>
        <w:tc>
          <w:tcPr>
            <w:tcW w:w="1397" w:type="dxa"/>
          </w:tcPr>
          <w:p w:rsidR="00000000" w:rsidRDefault="0037527F">
            <w:pPr>
              <w:rPr>
                <w:b/>
              </w:rPr>
            </w:pPr>
            <w:r>
              <w:rPr>
                <w:b/>
              </w:rPr>
              <w:t>Trailers</w:t>
            </w:r>
          </w:p>
        </w:tc>
        <w:tc>
          <w:tcPr>
            <w:tcW w:w="720" w:type="dxa"/>
          </w:tcPr>
          <w:p w:rsidR="00000000" w:rsidRDefault="0037527F">
            <w:pPr>
              <w:rPr>
                <w:b/>
              </w:rPr>
            </w:pPr>
            <w:r>
              <w:rPr>
                <w:b/>
              </w:rPr>
              <w:t>10</w:t>
            </w:r>
          </w:p>
        </w:tc>
      </w:tr>
      <w:tr w:rsidR="00000000">
        <w:tblPrEx>
          <w:tblCellMar>
            <w:top w:w="0" w:type="dxa"/>
            <w:bottom w:w="0" w:type="dxa"/>
          </w:tblCellMar>
        </w:tblPrEx>
        <w:tc>
          <w:tcPr>
            <w:tcW w:w="3108" w:type="dxa"/>
          </w:tcPr>
          <w:p w:rsidR="00000000" w:rsidRDefault="0037527F">
            <w:pPr>
              <w:rPr>
                <w:b/>
              </w:rPr>
            </w:pPr>
            <w:r>
              <w:rPr>
                <w:b/>
              </w:rPr>
              <w:t>Conditions or Undertakings</w:t>
            </w:r>
          </w:p>
        </w:tc>
        <w:tc>
          <w:tcPr>
            <w:tcW w:w="5400" w:type="dxa"/>
            <w:gridSpan w:val="3"/>
          </w:tcPr>
          <w:p w:rsidR="00000000" w:rsidRDefault="0037527F">
            <w:pPr>
              <w:rPr>
                <w:b/>
              </w:rPr>
            </w:pPr>
          </w:p>
        </w:tc>
      </w:tr>
    </w:tbl>
    <w:p w:rsidR="00000000" w:rsidRDefault="0037527F"/>
    <w:p w:rsidR="00000000" w:rsidRDefault="0037527F"/>
    <w:p w:rsidR="00A734F3" w:rsidRDefault="0037527F">
      <w:pPr>
        <w:rPr>
          <w:b/>
          <w:bCs/>
        </w:rPr>
      </w:pPr>
    </w:p>
    <w:p w:rsidR="00054BA3" w:rsidRDefault="0037527F">
      <w:pPr>
        <w:rPr>
          <w:b/>
          <w:bCs/>
        </w:rPr>
      </w:pPr>
    </w:p>
    <w:p w:rsidR="00054BA3" w:rsidRDefault="0037527F">
      <w:pPr>
        <w:rPr>
          <w:b/>
          <w:bCs/>
        </w:rPr>
      </w:pPr>
    </w:p>
    <w:p w:rsidR="00054BA3" w:rsidRDefault="0037527F">
      <w:pPr>
        <w:rPr>
          <w:b/>
          <w:bCs/>
        </w:rPr>
      </w:pPr>
    </w:p>
    <w:p w:rsidR="00054BA3" w:rsidRPr="00AC3D48" w:rsidRDefault="0037527F">
      <w:pPr>
        <w:rPr>
          <w:b/>
          <w:bCs/>
        </w:rPr>
      </w:pPr>
    </w:p>
    <w:p w:rsidR="002A3A59" w:rsidRPr="00AC3D48" w:rsidRDefault="002A3A59" w:rsidP="002A3A59">
      <w:pPr>
        <w:pStyle w:val="Heading3"/>
      </w:pPr>
      <w:r w:rsidRPr="00AC3D48">
        <w:t>Transport Manager(s)</w:t>
      </w:r>
    </w:p>
    <w:p w:rsidR="002A3A59" w:rsidRPr="00AC3D48" w:rsidRDefault="002A3A59" w:rsidP="002A3A59"/>
    <w:p w:rsidR="00F70B82" w:rsidRDefault="0037527F">
      <w:pPr>
        <w:pStyle w:val="Heading2"/>
        <w:jc w:val="left"/>
      </w:pPr>
      <w:r>
        <w:t>N/A</w:t>
      </w:r>
    </w:p>
    <w:p w:rsidR="00054BA3" w:rsidRPr="00054BA3" w:rsidRDefault="0037527F" w:rsidP="00054BA3"/>
    <w:p w:rsidR="002A3A59" w:rsidRPr="00AC3D48" w:rsidRDefault="0037527F" w:rsidP="0076194B">
      <w:pPr>
        <w:pStyle w:val="Heading2"/>
        <w:jc w:val="left"/>
        <w:rPr>
          <w:b w:val="0"/>
          <w:bCs w:val="0"/>
          <w:sz w:val="32"/>
          <w:szCs w:val="32"/>
        </w:rPr>
      </w:pPr>
      <w:r>
        <w:rPr>
          <w:sz w:val="32"/>
          <w:szCs w:val="32"/>
        </w:rPr>
        <w:t>Specific conditions attached to l</w:t>
      </w:r>
      <w:r w:rsidR="002A3A59" w:rsidRPr="00AC3D48">
        <w:rPr>
          <w:sz w:val="32"/>
          <w:szCs w:val="32"/>
        </w:rPr>
        <w:t>icence</w:t>
      </w:r>
    </w:p>
    <w:p w:rsidR="00527D43" w:rsidRPr="00AC3D48" w:rsidRDefault="0037527F" w:rsidP="0076194B"/>
    <w:p w:rsidR="002A3A59" w:rsidRDefault="002A3A59"/>
    <w:p w:rsidR="00054BA3" w:rsidRPr="00AC3D48" w:rsidRDefault="0037527F"/>
    <w:p w:rsidR="002A3A59" w:rsidRPr="00AC3D48" w:rsidRDefault="0037527F">
      <w:pPr>
        <w:pStyle w:val="Heading3"/>
      </w:pPr>
      <w:r w:rsidRPr="00AC3D48">
        <w:t xml:space="preserve">Specific </w:t>
      </w:r>
      <w:r>
        <w:t>u</w:t>
      </w:r>
      <w:r w:rsidR="002A3A59" w:rsidRPr="00AC3D48">
        <w:t>ndertakings</w:t>
      </w:r>
      <w:r>
        <w:t xml:space="preserve"> attached to l</w:t>
      </w:r>
      <w:r w:rsidRPr="00AC3D48">
        <w:t>icence</w:t>
      </w:r>
    </w:p>
    <w:p w:rsidR="002A3A59" w:rsidRPr="00AC3D48" w:rsidRDefault="002A3A59"/>
    <w:p w:rsidR="0076194B" w:rsidRPr="00AC3D48" w:rsidRDefault="0037527F" w:rsidP="0076194B"/>
    <w:p w:rsidR="006462B4" w:rsidRPr="001E224F" w:rsidRDefault="002A3A59" w:rsidP="006462B4">
      <w:pPr>
        <w:pStyle w:val="Heading2"/>
        <w:rPr>
          <w:rFonts w:cs="Arial"/>
          <w:sz w:val="22"/>
          <w:szCs w:val="22"/>
        </w:rPr>
      </w:pPr>
      <w:r w:rsidRPr="00AC3D48">
        <w:br w:type="page"/>
      </w:r>
      <w:r w:rsidR="006462B4" w:rsidRPr="001E224F">
        <w:rPr>
          <w:rFonts w:cs="Arial"/>
          <w:sz w:val="22"/>
          <w:szCs w:val="22"/>
        </w:rPr>
        <w:lastRenderedPageBreak/>
        <w:t xml:space="preserve">GENERAL CONDITIONS ATTACHED UNDER SECTION 22 OF THE </w:t>
      </w:r>
      <w:r w:rsidR="006462B4">
        <w:rPr>
          <w:rFonts w:cs="Arial"/>
          <w:sz w:val="22"/>
          <w:szCs w:val="22"/>
        </w:rPr>
        <w:t xml:space="preserve">GOODS VEHICLES (LICENSING OF OPERATORS) </w:t>
      </w:r>
      <w:r w:rsidR="006462B4" w:rsidRPr="001E224F">
        <w:rPr>
          <w:rFonts w:cs="Arial"/>
          <w:sz w:val="22"/>
          <w:szCs w:val="22"/>
        </w:rPr>
        <w:t xml:space="preserve">ACT </w:t>
      </w:r>
      <w:r w:rsidR="006462B4">
        <w:rPr>
          <w:rFonts w:cs="Arial"/>
          <w:sz w:val="22"/>
          <w:szCs w:val="22"/>
        </w:rPr>
        <w:t xml:space="preserve">1995 </w:t>
      </w:r>
      <w:r w:rsidR="006462B4" w:rsidRPr="001E224F">
        <w:rPr>
          <w:rFonts w:cs="Arial"/>
          <w:sz w:val="22"/>
          <w:szCs w:val="22"/>
        </w:rPr>
        <w:t>– RESTRICTED LICENCES</w:t>
      </w:r>
    </w:p>
    <w:p w:rsidR="001E224F" w:rsidRDefault="001E224F"/>
    <w:p w:rsidR="006462B4" w:rsidRPr="001E224F" w:rsidRDefault="006462B4" w:rsidP="006462B4">
      <w:pPr>
        <w:rPr>
          <w:rFonts w:cs="Arial"/>
        </w:rPr>
      </w:pPr>
      <w:r w:rsidRPr="001E224F">
        <w:rPr>
          <w:rFonts w:cs="Arial"/>
        </w:rPr>
        <w:t>The licence holder shall, within 28 days of their occurrence, inform the Traffic Commissioner of any:</w:t>
      </w:r>
    </w:p>
    <w:p w:rsidR="006462B4" w:rsidRPr="001E224F" w:rsidRDefault="006462B4" w:rsidP="006462B4">
      <w:pPr>
        <w:rPr>
          <w:rFonts w:cs="Arial"/>
        </w:rPr>
      </w:pPr>
    </w:p>
    <w:p w:rsidR="006462B4" w:rsidRPr="001E224F" w:rsidRDefault="006462B4" w:rsidP="006462B4">
      <w:pPr>
        <w:ind w:left="600"/>
        <w:rPr>
          <w:rFonts w:cs="Arial"/>
        </w:rPr>
      </w:pPr>
      <w:r w:rsidRPr="001E224F">
        <w:rPr>
          <w:rFonts w:cs="Arial"/>
          <w:b/>
          <w:bCs/>
        </w:rPr>
        <w:t>CHANGES</w:t>
      </w:r>
      <w:r w:rsidRPr="001E224F">
        <w:rPr>
          <w:rFonts w:cs="Arial"/>
        </w:rPr>
        <w:t xml:space="preserve"> in the maintenance and safety inspection arrangements;</w:t>
      </w:r>
    </w:p>
    <w:p w:rsidR="006462B4" w:rsidRPr="001E224F" w:rsidRDefault="006462B4" w:rsidP="006462B4">
      <w:pPr>
        <w:ind w:left="600"/>
        <w:rPr>
          <w:rFonts w:cs="Arial"/>
        </w:rPr>
      </w:pPr>
    </w:p>
    <w:p w:rsidR="006462B4" w:rsidRPr="001E224F" w:rsidRDefault="006462B4" w:rsidP="006462B4">
      <w:pPr>
        <w:ind w:left="600"/>
        <w:rPr>
          <w:rFonts w:cs="Arial"/>
        </w:rPr>
      </w:pPr>
      <w:r w:rsidRPr="001E224F">
        <w:rPr>
          <w:rFonts w:cs="Arial"/>
          <w:b/>
          <w:bCs/>
        </w:rPr>
        <w:t>CHANGES</w:t>
      </w:r>
      <w:r w:rsidRPr="001E224F">
        <w:rPr>
          <w:rFonts w:cs="Arial"/>
        </w:rPr>
        <w:t xml:space="preserve"> in the ownership of the business including partnership arrangements.  Company changes in shareholding need not be notified unless they cause a change in the control of the Company;</w:t>
      </w:r>
    </w:p>
    <w:p w:rsidR="006462B4" w:rsidRPr="001E224F" w:rsidRDefault="006462B4" w:rsidP="006462B4">
      <w:pPr>
        <w:ind w:left="600"/>
        <w:rPr>
          <w:rFonts w:cs="Arial"/>
        </w:rPr>
      </w:pPr>
    </w:p>
    <w:p w:rsidR="006462B4" w:rsidRPr="001E224F" w:rsidRDefault="006462B4" w:rsidP="006462B4">
      <w:pPr>
        <w:ind w:left="600"/>
        <w:rPr>
          <w:rFonts w:cs="Arial"/>
        </w:rPr>
      </w:pPr>
      <w:r w:rsidRPr="001E224F">
        <w:rPr>
          <w:rFonts w:cs="Arial"/>
          <w:b/>
          <w:bCs/>
        </w:rPr>
        <w:t>NOTIFIABLE CONVICTIONS</w:t>
      </w:r>
      <w:r w:rsidRPr="001E224F">
        <w:rPr>
          <w:rFonts w:cs="Arial"/>
        </w:rPr>
        <w:t xml:space="preserve"> as defined in paragraph 4 of Schedule 2 to the Act</w:t>
      </w:r>
    </w:p>
    <w:p w:rsidR="00BC4ACC" w:rsidRDefault="00BC4ACC" w:rsidP="006462B4">
      <w:pPr>
        <w:pStyle w:val="Heading3"/>
        <w:rPr>
          <w:rFonts w:cs="Arial"/>
          <w:sz w:val="22"/>
          <w:szCs w:val="22"/>
        </w:rPr>
      </w:pPr>
    </w:p>
    <w:p w:rsidR="00BC4ACC" w:rsidRDefault="00BC4ACC" w:rsidP="006462B4">
      <w:pPr>
        <w:pStyle w:val="Heading3"/>
        <w:rPr>
          <w:rFonts w:cs="Arial"/>
          <w:sz w:val="22"/>
          <w:szCs w:val="22"/>
        </w:rPr>
      </w:pPr>
    </w:p>
    <w:p w:rsidR="006462B4" w:rsidRPr="001E224F" w:rsidRDefault="006462B4" w:rsidP="006462B4">
      <w:pPr>
        <w:pStyle w:val="Heading3"/>
        <w:rPr>
          <w:rFonts w:cs="Arial"/>
          <w:sz w:val="22"/>
          <w:szCs w:val="22"/>
        </w:rPr>
      </w:pPr>
      <w:r w:rsidRPr="001E224F">
        <w:rPr>
          <w:rFonts w:cs="Arial"/>
          <w:sz w:val="22"/>
          <w:szCs w:val="22"/>
        </w:rPr>
        <w:t>GENERAL UNDERTAKINGS – RESTRICTED LICENCES</w:t>
      </w:r>
    </w:p>
    <w:p w:rsidR="00BC4ACC" w:rsidRDefault="00BC4ACC" w:rsidP="006462B4">
      <w:pPr>
        <w:rPr>
          <w:rFonts w:cs="Arial"/>
        </w:rPr>
      </w:pPr>
    </w:p>
    <w:p w:rsidR="006462B4" w:rsidRPr="001E224F" w:rsidRDefault="006462B4" w:rsidP="006462B4">
      <w:pPr>
        <w:rPr>
          <w:rFonts w:cs="Arial"/>
        </w:rPr>
      </w:pPr>
      <w:r w:rsidRPr="001E224F">
        <w:rPr>
          <w:rFonts w:cs="Arial"/>
        </w:rPr>
        <w:t>The licence holder undertakes to make proper arrangements so that:</w:t>
      </w:r>
    </w:p>
    <w:p w:rsidR="006462B4" w:rsidRPr="001E224F" w:rsidRDefault="006462B4" w:rsidP="006462B4">
      <w:pPr>
        <w:rPr>
          <w:rFonts w:cs="Arial"/>
        </w:rPr>
      </w:pPr>
    </w:p>
    <w:p w:rsidR="006462B4" w:rsidRPr="001E224F" w:rsidRDefault="006462B4" w:rsidP="006462B4">
      <w:pPr>
        <w:ind w:left="720"/>
        <w:rPr>
          <w:rFonts w:cs="Arial"/>
        </w:rPr>
      </w:pPr>
      <w:r w:rsidRPr="001E224F">
        <w:rPr>
          <w:rFonts w:cs="Arial"/>
        </w:rPr>
        <w:t>The rules on drivers’ hours and tachographs are observed and proper records kept;</w:t>
      </w:r>
    </w:p>
    <w:p w:rsidR="006462B4" w:rsidRPr="001E224F" w:rsidRDefault="006462B4" w:rsidP="006462B4">
      <w:pPr>
        <w:rPr>
          <w:rFonts w:cs="Arial"/>
        </w:rPr>
      </w:pPr>
    </w:p>
    <w:p w:rsidR="006462B4" w:rsidRPr="001E224F" w:rsidRDefault="006462B4" w:rsidP="006462B4">
      <w:pPr>
        <w:rPr>
          <w:rFonts w:cs="Arial"/>
        </w:rPr>
      </w:pPr>
      <w:r w:rsidRPr="001E224F">
        <w:rPr>
          <w:rFonts w:cs="Arial"/>
        </w:rPr>
        <w:tab/>
        <w:t>Motor vehicles and trailers are not overloaded;</w:t>
      </w:r>
    </w:p>
    <w:p w:rsidR="006462B4" w:rsidRPr="001E224F" w:rsidRDefault="006462B4" w:rsidP="006462B4">
      <w:pPr>
        <w:rPr>
          <w:rFonts w:cs="Arial"/>
        </w:rPr>
      </w:pPr>
    </w:p>
    <w:p w:rsidR="006462B4" w:rsidRPr="001E224F" w:rsidRDefault="006462B4" w:rsidP="006462B4">
      <w:pPr>
        <w:rPr>
          <w:rFonts w:cs="Arial"/>
        </w:rPr>
      </w:pPr>
      <w:r w:rsidRPr="001E224F">
        <w:rPr>
          <w:rFonts w:cs="Arial"/>
        </w:rPr>
        <w:tab/>
        <w:t>Vehicles will operate within speed limits;</w:t>
      </w:r>
    </w:p>
    <w:p w:rsidR="006462B4" w:rsidRPr="001E224F" w:rsidRDefault="006462B4" w:rsidP="006462B4">
      <w:pPr>
        <w:rPr>
          <w:rFonts w:cs="Arial"/>
        </w:rPr>
      </w:pPr>
    </w:p>
    <w:p w:rsidR="006462B4" w:rsidRPr="001E224F" w:rsidRDefault="006462B4" w:rsidP="006462B4">
      <w:pPr>
        <w:ind w:left="720"/>
        <w:rPr>
          <w:rFonts w:cs="Arial"/>
        </w:rPr>
      </w:pPr>
      <w:r w:rsidRPr="001E224F">
        <w:rPr>
          <w:rFonts w:cs="Arial"/>
        </w:rPr>
        <w:t>Motor vehicles and trailers, including hired vehicles and trailers, are kept fit and serviceable;</w:t>
      </w:r>
    </w:p>
    <w:p w:rsidR="006462B4" w:rsidRPr="001E224F" w:rsidRDefault="006462B4" w:rsidP="006462B4">
      <w:pPr>
        <w:ind w:left="720"/>
        <w:rPr>
          <w:rFonts w:cs="Arial"/>
        </w:rPr>
      </w:pPr>
    </w:p>
    <w:p w:rsidR="006462B4" w:rsidRPr="001E224F" w:rsidRDefault="006462B4" w:rsidP="006462B4">
      <w:pPr>
        <w:ind w:left="720"/>
        <w:rPr>
          <w:rFonts w:cs="Arial"/>
        </w:rPr>
      </w:pPr>
      <w:r w:rsidRPr="001E224F">
        <w:rPr>
          <w:rFonts w:cs="Arial"/>
        </w:rPr>
        <w:t>Drivers report promptly any defects or symptoms of defects that could prevent the safe operation of vehicles and/or trailers, and that any defects are promptly recorded in writing;</w:t>
      </w:r>
    </w:p>
    <w:p w:rsidR="006462B4" w:rsidRPr="001E224F" w:rsidRDefault="006462B4" w:rsidP="006462B4">
      <w:pPr>
        <w:ind w:left="720"/>
        <w:rPr>
          <w:rFonts w:cs="Arial"/>
        </w:rPr>
      </w:pPr>
    </w:p>
    <w:p w:rsidR="00BC4ACC" w:rsidRDefault="006462B4" w:rsidP="006462B4">
      <w:pPr>
        <w:ind w:left="720"/>
        <w:rPr>
          <w:rFonts w:cs="Arial"/>
        </w:rPr>
      </w:pPr>
      <w:r w:rsidRPr="001E224F">
        <w:rPr>
          <w:rFonts w:cs="Arial"/>
        </w:rPr>
        <w:t>Records are kept (for 15 months) of all driver defect reports, all safety inspections, routine maintenance and repairs to vehicles and trailers and these are made available on request; and</w:t>
      </w:r>
      <w:r w:rsidRPr="006462B4">
        <w:rPr>
          <w:rFonts w:cs="Arial"/>
        </w:rPr>
        <w:t xml:space="preserve"> </w:t>
      </w:r>
    </w:p>
    <w:p w:rsidR="00BC4ACC" w:rsidRDefault="00BC4ACC" w:rsidP="006462B4">
      <w:pPr>
        <w:ind w:left="720"/>
        <w:rPr>
          <w:rFonts w:cs="Arial"/>
        </w:rPr>
      </w:pPr>
    </w:p>
    <w:p w:rsidR="006462B4" w:rsidRDefault="006462B4" w:rsidP="006462B4">
      <w:pPr>
        <w:ind w:left="720"/>
        <w:rPr>
          <w:rFonts w:cs="Arial"/>
        </w:rPr>
      </w:pPr>
      <w:r w:rsidRPr="001E224F">
        <w:rPr>
          <w:rFonts w:cs="Arial"/>
        </w:rPr>
        <w:t xml:space="preserve">In respect of each operating centre specified, that the number of authorised motor vehicles and the number of authorised trailers kept there will not exceed the maximum numbers recorded against the operating centre in this licence. </w:t>
      </w:r>
    </w:p>
    <w:p w:rsidR="00D7764B" w:rsidRPr="003E2CBA" w:rsidRDefault="003C6C0C" w:rsidP="006462B4">
      <w:pPr>
        <w:ind w:left="720"/>
        <w:rPr>
          <w:rFonts w:cs="Arial"/>
        </w:rPr>
      </w:pPr>
      <w:r>
        <w:rPr>
          <w:rFonts w:cs="Arial"/>
        </w:rPr>
        <w:br w:type="page"/>
      </w:r>
    </w:p>
    <w:p w:rsidR="00CD6A30" w:rsidRPr="003E2CBA" w:rsidRDefault="00DB7844" w:rsidP="001D3043">
      <w:pPr>
        <w:spacing w:before="11" w:line="249" w:lineRule="auto"/>
        <w:ind w:left="5081" w:right="99"/>
        <w:jc w:val="left"/>
        <w:rPr>
          <w:b/>
          <w:sz w:val="48"/>
        </w:rPr>
      </w:pPr>
      <w:r>
        <w:rPr>
          <w:noProof/>
        </w:rPr>
        <w:lastRenderedPageBreak/>
        <w:drawing>
          <wp:anchor distT="0" distB="0" distL="0" distR="0" simplePos="0" relativeHeight="251657728" behindDoc="0" locked="0" layoutInCell="1" allowOverlap="1">
            <wp:simplePos x="0" y="0"/>
            <wp:positionH relativeFrom="page">
              <wp:posOffset>455295</wp:posOffset>
            </wp:positionH>
            <wp:positionV relativeFrom="paragraph">
              <wp:posOffset>-46355</wp:posOffset>
            </wp:positionV>
            <wp:extent cx="2279015" cy="85661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0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b/>
          <w:w w:val="95"/>
          <w:sz w:val="48"/>
        </w:rPr>
        <w:t>My</w:t>
      </w:r>
      <w:r w:rsidR="00CD6A30" w:rsidRPr="003E2CBA">
        <w:rPr>
          <w:b/>
          <w:spacing w:val="-48"/>
          <w:w w:val="95"/>
          <w:sz w:val="48"/>
        </w:rPr>
        <w:t xml:space="preserve"> </w:t>
      </w:r>
      <w:r w:rsidR="00CD6A30" w:rsidRPr="003E2CBA">
        <w:rPr>
          <w:b/>
          <w:w w:val="95"/>
          <w:sz w:val="48"/>
        </w:rPr>
        <w:t>promises</w:t>
      </w:r>
      <w:r w:rsidR="00CD6A30" w:rsidRPr="003E2CBA">
        <w:rPr>
          <w:b/>
          <w:spacing w:val="-39"/>
          <w:w w:val="95"/>
          <w:sz w:val="48"/>
        </w:rPr>
        <w:t xml:space="preserve"> </w:t>
      </w:r>
      <w:r w:rsidR="00CD6A30" w:rsidRPr="003E2CBA">
        <w:rPr>
          <w:b/>
          <w:w w:val="95"/>
          <w:sz w:val="48"/>
        </w:rPr>
        <w:t>as</w:t>
      </w:r>
      <w:r w:rsidR="00CD6A30" w:rsidRPr="003E2CBA">
        <w:rPr>
          <w:b/>
          <w:spacing w:val="-39"/>
          <w:w w:val="95"/>
          <w:sz w:val="48"/>
        </w:rPr>
        <w:t xml:space="preserve"> </w:t>
      </w:r>
      <w:r w:rsidR="00CD6A30" w:rsidRPr="003E2CBA">
        <w:rPr>
          <w:b/>
          <w:w w:val="95"/>
          <w:sz w:val="48"/>
        </w:rPr>
        <w:t>a Restricted Licence</w:t>
      </w:r>
      <w:r w:rsidR="00CD6A30" w:rsidRPr="003E2CBA">
        <w:rPr>
          <w:b/>
          <w:spacing w:val="-66"/>
          <w:w w:val="95"/>
          <w:sz w:val="48"/>
        </w:rPr>
        <w:t xml:space="preserve"> </w:t>
      </w:r>
      <w:r w:rsidR="00CD6A30" w:rsidRPr="003E2CBA">
        <w:rPr>
          <w:b/>
          <w:w w:val="95"/>
          <w:sz w:val="48"/>
        </w:rPr>
        <w:t>holder</w:t>
      </w:r>
    </w:p>
    <w:p w:rsidR="00CD6A30" w:rsidRPr="003E2CBA" w:rsidRDefault="00CD6A30" w:rsidP="001D3043">
      <w:pPr>
        <w:pStyle w:val="Heading1"/>
        <w:jc w:val="left"/>
        <w:rPr>
          <w:rFonts w:cs="Arial"/>
          <w:b/>
          <w:sz w:val="32"/>
          <w:szCs w:val="32"/>
        </w:rPr>
      </w:pPr>
      <w:r w:rsidRPr="003E2CBA">
        <w:rPr>
          <w:rFonts w:cs="Arial"/>
          <w:b/>
          <w:w w:val="95"/>
          <w:sz w:val="32"/>
          <w:szCs w:val="32"/>
        </w:rPr>
        <w:t xml:space="preserve">I </w:t>
      </w:r>
      <w:r w:rsidRPr="003E2CBA">
        <w:rPr>
          <w:rFonts w:cs="Arial"/>
          <w:b/>
          <w:spacing w:val="-4"/>
          <w:w w:val="95"/>
          <w:sz w:val="32"/>
          <w:szCs w:val="32"/>
        </w:rPr>
        <w:t xml:space="preserve">have </w:t>
      </w:r>
      <w:r w:rsidRPr="003E2CBA">
        <w:rPr>
          <w:rFonts w:cs="Arial"/>
          <w:b/>
          <w:w w:val="95"/>
          <w:sz w:val="32"/>
          <w:szCs w:val="32"/>
        </w:rPr>
        <w:t>promised:</w:t>
      </w:r>
    </w:p>
    <w:p w:rsidR="00CD6A30" w:rsidRPr="00B15748" w:rsidRDefault="00CD6A30" w:rsidP="00CD6A30">
      <w:pPr>
        <w:rPr>
          <w:rStyle w:val="FooterChar"/>
          <w:rFonts w:cs="Courier New"/>
          <w:bCs/>
          <w:sz w:val="16"/>
          <w:szCs w:val="16"/>
          <w:lang w:val="en-GB"/>
        </w:rPr>
      </w:pPr>
    </w:p>
    <w:p w:rsidR="00CD6A30" w:rsidRPr="003E2CBA" w:rsidRDefault="00DB7844" w:rsidP="001D3043">
      <w:pPr>
        <w:spacing w:before="199"/>
        <w:ind w:right="99" w:firstLine="720"/>
        <w:jc w:val="left"/>
        <w:rPr>
          <w:rStyle w:val="FooterChar"/>
          <w:rFonts w:cs="Arial"/>
          <w:b/>
          <w:bCs/>
          <w:lang w:val="en-GB"/>
        </w:rPr>
      </w:pPr>
      <w:r>
        <w:rPr>
          <w:noProof/>
        </w:rPr>
        <w:drawing>
          <wp:anchor distT="0" distB="0" distL="0" distR="0" simplePos="0" relativeHeight="251659776" behindDoc="0" locked="0" layoutInCell="1" allowOverlap="1">
            <wp:simplePos x="0" y="0"/>
            <wp:positionH relativeFrom="page">
              <wp:posOffset>457200</wp:posOffset>
            </wp:positionH>
            <wp:positionV relativeFrom="paragraph">
              <wp:posOffset>-14605</wp:posOffset>
            </wp:positionV>
            <wp:extent cx="448310" cy="4933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10"/>
          <w:lang w:val="en-GB"/>
        </w:rPr>
        <w:t>to keep vehicles taxed, insured and in MOT</w:t>
      </w:r>
    </w:p>
    <w:p w:rsidR="00CD6A30" w:rsidRPr="003E2CBA" w:rsidRDefault="00CD6A30" w:rsidP="001D3043">
      <w:pPr>
        <w:jc w:val="left"/>
        <w:rPr>
          <w:rStyle w:val="FooterChar"/>
          <w:rFonts w:cs="Arial"/>
          <w:b/>
          <w:bCs/>
          <w:lang w:val="en-GB"/>
        </w:rPr>
      </w:pPr>
    </w:p>
    <w:p w:rsidR="00CD6A30" w:rsidRPr="00B15748" w:rsidRDefault="00CD6A30" w:rsidP="001D3043">
      <w:pPr>
        <w:spacing w:before="7"/>
        <w:jc w:val="left"/>
        <w:rPr>
          <w:rStyle w:val="FooterChar"/>
          <w:rFonts w:cs="Arial"/>
          <w:b/>
          <w:bCs/>
          <w:sz w:val="16"/>
          <w:szCs w:val="16"/>
          <w:lang w:val="en-GB"/>
        </w:rPr>
      </w:pPr>
    </w:p>
    <w:p w:rsidR="00CD6A30" w:rsidRPr="003E2CBA" w:rsidRDefault="00DB7844" w:rsidP="001D3043">
      <w:pPr>
        <w:ind w:right="99" w:firstLine="720"/>
        <w:jc w:val="left"/>
        <w:rPr>
          <w:rStyle w:val="FooterChar"/>
          <w:rFonts w:cs="Arial"/>
          <w:b/>
          <w:bCs/>
          <w:lang w:val="en-GB"/>
        </w:rPr>
      </w:pPr>
      <w:r>
        <w:rPr>
          <w:noProof/>
        </w:rPr>
        <w:drawing>
          <wp:anchor distT="0" distB="0" distL="0" distR="0" simplePos="0" relativeHeight="251652608" behindDoc="0" locked="0" layoutInCell="1" allowOverlap="1">
            <wp:simplePos x="0" y="0"/>
            <wp:positionH relativeFrom="page">
              <wp:posOffset>457200</wp:posOffset>
            </wp:positionH>
            <wp:positionV relativeFrom="paragraph">
              <wp:posOffset>-132715</wp:posOffset>
            </wp:positionV>
            <wp:extent cx="448310" cy="49339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10"/>
          <w:lang w:val="en-GB"/>
        </w:rPr>
        <w:t xml:space="preserve">to check that </w:t>
      </w:r>
      <w:proofErr w:type="gramStart"/>
      <w:r w:rsidR="00CD6A30" w:rsidRPr="003E2CBA">
        <w:rPr>
          <w:rStyle w:val="FooterChar"/>
          <w:rFonts w:cs="Arial"/>
          <w:b/>
          <w:bCs/>
          <w:w w:val="110"/>
          <w:lang w:val="en-GB"/>
        </w:rPr>
        <w:t>drivers</w:t>
      </w:r>
      <w:proofErr w:type="gramEnd"/>
      <w:r w:rsidR="00CD6A30" w:rsidRPr="003E2CBA">
        <w:rPr>
          <w:rStyle w:val="FooterChar"/>
          <w:rFonts w:cs="Arial"/>
          <w:b/>
          <w:bCs/>
          <w:w w:val="110"/>
          <w:lang w:val="en-GB"/>
        </w:rPr>
        <w:t xml:space="preserve"> have the right licence to drive HGVs</w:t>
      </w:r>
    </w:p>
    <w:p w:rsidR="00CD6A30" w:rsidRPr="00B15748" w:rsidRDefault="00CD6A30" w:rsidP="001D3043">
      <w:pPr>
        <w:jc w:val="left"/>
        <w:rPr>
          <w:rStyle w:val="FooterChar"/>
          <w:rFonts w:cs="Arial"/>
          <w:b/>
          <w:bCs/>
          <w:sz w:val="16"/>
          <w:szCs w:val="16"/>
          <w:lang w:val="en-GB"/>
        </w:rPr>
      </w:pPr>
    </w:p>
    <w:p w:rsidR="00CD6A30" w:rsidRPr="003E2CBA" w:rsidRDefault="00CD6A30" w:rsidP="001D3043">
      <w:pPr>
        <w:spacing w:before="7"/>
        <w:jc w:val="left"/>
        <w:rPr>
          <w:rStyle w:val="FooterChar"/>
          <w:rFonts w:cs="Arial"/>
          <w:b/>
          <w:bCs/>
          <w:lang w:val="en-GB"/>
        </w:rPr>
      </w:pPr>
    </w:p>
    <w:p w:rsidR="00CD6A30" w:rsidRPr="003E2CBA" w:rsidRDefault="00DB7844" w:rsidP="001D3043">
      <w:pPr>
        <w:ind w:right="99" w:firstLine="720"/>
        <w:jc w:val="left"/>
        <w:rPr>
          <w:rStyle w:val="FooterChar"/>
          <w:rFonts w:cs="Arial"/>
          <w:b/>
          <w:bCs/>
          <w:lang w:val="en-GB"/>
        </w:rPr>
      </w:pPr>
      <w:r>
        <w:rPr>
          <w:noProof/>
        </w:rPr>
        <w:drawing>
          <wp:anchor distT="0" distB="0" distL="0" distR="0" simplePos="0" relativeHeight="251653632" behindDoc="0" locked="0" layoutInCell="1" allowOverlap="1">
            <wp:simplePos x="0" y="0"/>
            <wp:positionH relativeFrom="page">
              <wp:posOffset>457200</wp:posOffset>
            </wp:positionH>
            <wp:positionV relativeFrom="paragraph">
              <wp:posOffset>-142875</wp:posOffset>
            </wp:positionV>
            <wp:extent cx="448310" cy="49339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10"/>
          <w:lang w:val="en-GB"/>
        </w:rPr>
        <w:t>to keep vehicles and trailers roadworthy and not overload them</w:t>
      </w:r>
    </w:p>
    <w:p w:rsidR="00CD6A30" w:rsidRPr="00B15748" w:rsidRDefault="00CD6A30" w:rsidP="001D3043">
      <w:pPr>
        <w:jc w:val="left"/>
        <w:rPr>
          <w:rStyle w:val="FooterChar"/>
          <w:rFonts w:cs="Arial"/>
          <w:b/>
          <w:bCs/>
          <w:sz w:val="16"/>
          <w:szCs w:val="16"/>
          <w:lang w:val="en-GB"/>
        </w:rPr>
      </w:pPr>
    </w:p>
    <w:p w:rsidR="00CD6A30" w:rsidRPr="003E2CBA" w:rsidRDefault="00CD6A30" w:rsidP="001D3043">
      <w:pPr>
        <w:spacing w:before="7"/>
        <w:jc w:val="left"/>
        <w:rPr>
          <w:rStyle w:val="FooterChar"/>
          <w:rFonts w:cs="Arial"/>
          <w:b/>
          <w:bCs/>
          <w:lang w:val="en-GB"/>
        </w:rPr>
      </w:pPr>
    </w:p>
    <w:p w:rsidR="00CD6A30" w:rsidRDefault="00DB7844" w:rsidP="001D3043">
      <w:pPr>
        <w:ind w:left="720" w:right="99"/>
        <w:jc w:val="left"/>
        <w:rPr>
          <w:rStyle w:val="FooterChar"/>
          <w:rFonts w:cs="Arial"/>
          <w:b/>
          <w:bCs/>
          <w:lang w:val="en-GB"/>
        </w:rPr>
      </w:pPr>
      <w:r>
        <w:rPr>
          <w:noProof/>
        </w:rPr>
        <w:drawing>
          <wp:anchor distT="0" distB="0" distL="0" distR="0" simplePos="0" relativeHeight="251654656" behindDoc="0" locked="0" layoutInCell="1" allowOverlap="1">
            <wp:simplePos x="0" y="0"/>
            <wp:positionH relativeFrom="page">
              <wp:posOffset>457200</wp:posOffset>
            </wp:positionH>
            <wp:positionV relativeFrom="paragraph">
              <wp:posOffset>-116840</wp:posOffset>
            </wp:positionV>
            <wp:extent cx="448310" cy="493395"/>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10"/>
          <w:lang w:val="en-GB"/>
        </w:rPr>
        <w:t>to obey drivers’ hours and tachograph rules (so I will need to know what they are)</w:t>
      </w:r>
    </w:p>
    <w:p w:rsidR="005B6B1D" w:rsidRPr="005B6B1D" w:rsidRDefault="005B6B1D" w:rsidP="001D3043">
      <w:pPr>
        <w:ind w:left="720" w:right="99"/>
        <w:jc w:val="left"/>
        <w:rPr>
          <w:rStyle w:val="FooterChar"/>
          <w:rFonts w:cs="Arial"/>
          <w:b/>
          <w:bCs/>
          <w:lang w:val="en-GB"/>
        </w:rPr>
      </w:pPr>
    </w:p>
    <w:p w:rsidR="00CD6A30" w:rsidRDefault="00DB7844" w:rsidP="001D3043">
      <w:pPr>
        <w:spacing w:line="288" w:lineRule="exact"/>
        <w:ind w:left="720" w:right="99"/>
        <w:jc w:val="left"/>
        <w:rPr>
          <w:rStyle w:val="FooterChar"/>
          <w:rFonts w:cs="Arial"/>
          <w:b/>
          <w:bCs/>
          <w:lang w:val="en-GB"/>
        </w:rPr>
      </w:pPr>
      <w:r>
        <w:rPr>
          <w:noProof/>
        </w:rPr>
        <w:drawing>
          <wp:anchor distT="0" distB="0" distL="0" distR="0" simplePos="0" relativeHeight="251655680" behindDoc="0" locked="0" layoutInCell="1" allowOverlap="1">
            <wp:simplePos x="0" y="0"/>
            <wp:positionH relativeFrom="page">
              <wp:posOffset>457200</wp:posOffset>
            </wp:positionH>
            <wp:positionV relativeFrom="paragraph">
              <wp:posOffset>-99060</wp:posOffset>
            </wp:positionV>
            <wp:extent cx="448310" cy="49339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10"/>
          <w:lang w:val="en-GB"/>
        </w:rPr>
        <w:t>that</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drivers</w:t>
      </w:r>
      <w:r w:rsidR="00CD6A30" w:rsidRPr="003E2CBA">
        <w:rPr>
          <w:rStyle w:val="FooterChar"/>
          <w:rFonts w:cs="Arial"/>
          <w:b/>
          <w:bCs/>
          <w:spacing w:val="-20"/>
          <w:w w:val="110"/>
          <w:lang w:val="en-GB"/>
        </w:rPr>
        <w:t xml:space="preserve"> </w:t>
      </w:r>
      <w:r w:rsidR="00CD6A30" w:rsidRPr="003E2CBA">
        <w:rPr>
          <w:rStyle w:val="FooterChar"/>
          <w:rFonts w:cs="Arial"/>
          <w:b/>
          <w:bCs/>
          <w:w w:val="110"/>
          <w:lang w:val="en-GB"/>
        </w:rPr>
        <w:t>will</w:t>
      </w:r>
      <w:r w:rsidR="00CD6A30" w:rsidRPr="003E2CBA">
        <w:rPr>
          <w:rStyle w:val="FooterChar"/>
          <w:rFonts w:cs="Arial"/>
          <w:b/>
          <w:bCs/>
          <w:spacing w:val="-18"/>
          <w:w w:val="110"/>
          <w:lang w:val="en-GB"/>
        </w:rPr>
        <w:t xml:space="preserve"> </w:t>
      </w:r>
      <w:r w:rsidR="00CD6A30" w:rsidRPr="003E2CBA">
        <w:rPr>
          <w:rStyle w:val="FooterChar"/>
          <w:rFonts w:cs="Arial"/>
          <w:b/>
          <w:bCs/>
          <w:w w:val="110"/>
          <w:lang w:val="en-GB"/>
        </w:rPr>
        <w:t>do</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a</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daily</w:t>
      </w:r>
      <w:r w:rsidR="00CD6A30" w:rsidRPr="003E2CBA">
        <w:rPr>
          <w:rStyle w:val="FooterChar"/>
          <w:rFonts w:cs="Arial"/>
          <w:b/>
          <w:bCs/>
          <w:spacing w:val="-25"/>
          <w:w w:val="110"/>
          <w:lang w:val="en-GB"/>
        </w:rPr>
        <w:t xml:space="preserve"> </w:t>
      </w:r>
      <w:r w:rsidR="00CD6A30" w:rsidRPr="003E2CBA">
        <w:rPr>
          <w:rStyle w:val="FooterChar"/>
          <w:rFonts w:cs="Arial"/>
          <w:b/>
          <w:bCs/>
          <w:w w:val="110"/>
          <w:lang w:val="en-GB"/>
        </w:rPr>
        <w:t>walk-round</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check</w:t>
      </w:r>
      <w:r w:rsidR="00CD6A30" w:rsidRPr="003E2CBA">
        <w:rPr>
          <w:rStyle w:val="FooterChar"/>
          <w:rFonts w:cs="Arial"/>
          <w:b/>
          <w:bCs/>
          <w:spacing w:val="-18"/>
          <w:w w:val="110"/>
          <w:lang w:val="en-GB"/>
        </w:rPr>
        <w:t xml:space="preserve"> </w:t>
      </w:r>
      <w:r w:rsidR="00CD6A30" w:rsidRPr="003E2CBA">
        <w:rPr>
          <w:rStyle w:val="FooterChar"/>
          <w:rFonts w:cs="Arial"/>
          <w:b/>
          <w:bCs/>
          <w:w w:val="110"/>
          <w:lang w:val="en-GB"/>
        </w:rPr>
        <w:t>of</w:t>
      </w:r>
      <w:r w:rsidR="00CD6A30" w:rsidRPr="003E2CBA">
        <w:rPr>
          <w:rStyle w:val="FooterChar"/>
          <w:rFonts w:cs="Arial"/>
          <w:b/>
          <w:bCs/>
          <w:spacing w:val="-22"/>
          <w:w w:val="110"/>
          <w:lang w:val="en-GB"/>
        </w:rPr>
        <w:t xml:space="preserve"> </w:t>
      </w:r>
      <w:r w:rsidR="00CD6A30" w:rsidRPr="003E2CBA">
        <w:rPr>
          <w:rStyle w:val="FooterChar"/>
          <w:rFonts w:cs="Arial"/>
          <w:b/>
          <w:bCs/>
          <w:w w:val="110"/>
          <w:lang w:val="en-GB"/>
        </w:rPr>
        <w:t>the</w:t>
      </w:r>
      <w:r w:rsidR="00CD6A30" w:rsidRPr="003E2CBA">
        <w:rPr>
          <w:rStyle w:val="FooterChar"/>
          <w:rFonts w:cs="Arial"/>
          <w:b/>
          <w:bCs/>
          <w:spacing w:val="-20"/>
          <w:w w:val="110"/>
          <w:lang w:val="en-GB"/>
        </w:rPr>
        <w:t xml:space="preserve"> </w:t>
      </w:r>
      <w:r w:rsidR="00CD6A30" w:rsidRPr="003E2CBA">
        <w:rPr>
          <w:rStyle w:val="FooterChar"/>
          <w:rFonts w:cs="Arial"/>
          <w:b/>
          <w:bCs/>
          <w:w w:val="110"/>
          <w:lang w:val="en-GB"/>
        </w:rPr>
        <w:t>vehicle</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(recorded</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in</w:t>
      </w:r>
      <w:r w:rsidR="00CD6A30" w:rsidRPr="003E2CBA">
        <w:rPr>
          <w:rStyle w:val="FooterChar"/>
          <w:rFonts w:cs="Arial"/>
          <w:b/>
          <w:bCs/>
          <w:spacing w:val="-20"/>
          <w:w w:val="110"/>
          <w:lang w:val="en-GB"/>
        </w:rPr>
        <w:t xml:space="preserve"> </w:t>
      </w:r>
      <w:r w:rsidR="00CD6A30" w:rsidRPr="003E2CBA">
        <w:rPr>
          <w:rStyle w:val="FooterChar"/>
          <w:rFonts w:cs="Arial"/>
          <w:b/>
          <w:bCs/>
          <w:w w:val="110"/>
          <w:lang w:val="en-GB"/>
        </w:rPr>
        <w:t>writing)</w:t>
      </w:r>
      <w:r w:rsidR="00CD6A30" w:rsidRPr="003E2CBA">
        <w:rPr>
          <w:rStyle w:val="FooterChar"/>
          <w:rFonts w:cs="Arial"/>
          <w:b/>
          <w:bCs/>
          <w:spacing w:val="-15"/>
          <w:w w:val="110"/>
          <w:lang w:val="en-GB"/>
        </w:rPr>
        <w:t xml:space="preserve"> </w:t>
      </w:r>
      <w:r w:rsidR="00CD6A30" w:rsidRPr="003E2CBA">
        <w:rPr>
          <w:rStyle w:val="FooterChar"/>
          <w:rFonts w:cs="Arial"/>
          <w:b/>
          <w:bCs/>
          <w:w w:val="110"/>
          <w:lang w:val="en-GB"/>
        </w:rPr>
        <w:t>before starting to</w:t>
      </w:r>
      <w:r w:rsidR="00CD6A30" w:rsidRPr="003E2CBA">
        <w:rPr>
          <w:rStyle w:val="FooterChar"/>
          <w:rFonts w:cs="Arial"/>
          <w:b/>
          <w:bCs/>
          <w:spacing w:val="-41"/>
          <w:w w:val="110"/>
          <w:lang w:val="en-GB"/>
        </w:rPr>
        <w:t xml:space="preserve"> </w:t>
      </w:r>
      <w:r w:rsidR="00CD6A30" w:rsidRPr="003E2CBA">
        <w:rPr>
          <w:rStyle w:val="FooterChar"/>
          <w:rFonts w:cs="Arial"/>
          <w:b/>
          <w:bCs/>
          <w:w w:val="110"/>
          <w:lang w:val="en-GB"/>
        </w:rPr>
        <w:t>drive</w:t>
      </w:r>
    </w:p>
    <w:p w:rsidR="005B6B1D" w:rsidRDefault="005B6B1D" w:rsidP="001D3043">
      <w:pPr>
        <w:spacing w:line="288" w:lineRule="exact"/>
        <w:ind w:left="720" w:right="99"/>
        <w:jc w:val="left"/>
        <w:rPr>
          <w:rStyle w:val="FooterChar"/>
          <w:rFonts w:cs="Arial"/>
          <w:b/>
          <w:bCs/>
          <w:lang w:val="en-GB"/>
        </w:rPr>
      </w:pPr>
    </w:p>
    <w:p w:rsidR="005B6B1D" w:rsidRPr="005B6B1D" w:rsidRDefault="005B6B1D" w:rsidP="001D3043">
      <w:pPr>
        <w:spacing w:line="288" w:lineRule="exact"/>
        <w:ind w:left="720" w:right="99"/>
        <w:jc w:val="left"/>
        <w:rPr>
          <w:rStyle w:val="FooterChar"/>
          <w:rFonts w:cs="Arial"/>
          <w:b/>
          <w:bCs/>
          <w:sz w:val="20"/>
          <w:szCs w:val="20"/>
          <w:lang w:val="en-GB"/>
        </w:rPr>
      </w:pPr>
    </w:p>
    <w:p w:rsidR="00CD6A30" w:rsidRDefault="00DB7844" w:rsidP="00061267">
      <w:pPr>
        <w:ind w:left="720" w:right="99"/>
        <w:jc w:val="left"/>
        <w:rPr>
          <w:rStyle w:val="FooterChar"/>
          <w:rFonts w:cs="Arial"/>
          <w:b/>
          <w:bCs/>
          <w:lang w:val="en-GB"/>
        </w:rPr>
      </w:pPr>
      <w:r>
        <w:rPr>
          <w:noProof/>
        </w:rPr>
        <w:drawing>
          <wp:anchor distT="0" distB="0" distL="0" distR="0" simplePos="0" relativeHeight="251656704" behindDoc="0" locked="0" layoutInCell="1" allowOverlap="1">
            <wp:simplePos x="0" y="0"/>
            <wp:positionH relativeFrom="page">
              <wp:posOffset>457200</wp:posOffset>
            </wp:positionH>
            <wp:positionV relativeFrom="paragraph">
              <wp:posOffset>-158115</wp:posOffset>
            </wp:positionV>
            <wp:extent cx="448310" cy="493395"/>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05"/>
          <w:lang w:val="en-GB"/>
        </w:rPr>
        <w:t>to keep vehicle maintenance and driver check records for 15 months</w:t>
      </w:r>
    </w:p>
    <w:p w:rsidR="005B6B1D" w:rsidRDefault="005B6B1D" w:rsidP="001D3043">
      <w:pPr>
        <w:ind w:right="99" w:firstLine="720"/>
        <w:jc w:val="left"/>
        <w:rPr>
          <w:rStyle w:val="FooterChar"/>
          <w:rFonts w:cs="Arial"/>
          <w:b/>
          <w:bCs/>
          <w:lang w:val="en-GB"/>
        </w:rPr>
      </w:pPr>
    </w:p>
    <w:p w:rsidR="005B6B1D" w:rsidRPr="005B6B1D" w:rsidRDefault="005B6B1D" w:rsidP="001D3043">
      <w:pPr>
        <w:ind w:right="99" w:firstLine="720"/>
        <w:jc w:val="left"/>
        <w:rPr>
          <w:rStyle w:val="FooterChar"/>
          <w:rFonts w:cs="Arial"/>
          <w:b/>
          <w:bCs/>
          <w:sz w:val="20"/>
          <w:szCs w:val="20"/>
          <w:lang w:val="en-GB"/>
        </w:rPr>
      </w:pPr>
    </w:p>
    <w:p w:rsidR="00A63ACA" w:rsidRDefault="00DB7844" w:rsidP="00061267">
      <w:pPr>
        <w:ind w:left="720" w:right="99"/>
        <w:jc w:val="left"/>
        <w:rPr>
          <w:rStyle w:val="FooterChar"/>
          <w:rFonts w:cs="Arial"/>
          <w:b/>
          <w:bCs/>
          <w:lang w:val="en-GB"/>
        </w:rPr>
      </w:pPr>
      <w:r>
        <w:rPr>
          <w:noProof/>
        </w:rPr>
        <w:drawing>
          <wp:anchor distT="0" distB="0" distL="0" distR="0" simplePos="0" relativeHeight="251660800" behindDoc="1" locked="0" layoutInCell="1" allowOverlap="1">
            <wp:simplePos x="0" y="0"/>
            <wp:positionH relativeFrom="page">
              <wp:posOffset>457200</wp:posOffset>
            </wp:positionH>
            <wp:positionV relativeFrom="paragraph">
              <wp:posOffset>-140970</wp:posOffset>
            </wp:positionV>
            <wp:extent cx="448310" cy="493395"/>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31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3E2CBA">
        <w:rPr>
          <w:rStyle w:val="FooterChar"/>
          <w:rFonts w:cs="Arial"/>
          <w:b/>
          <w:bCs/>
          <w:w w:val="105"/>
          <w:lang w:val="en-GB"/>
        </w:rPr>
        <w:t>not to operate more than the maximum number of vehicles on the licence</w:t>
      </w:r>
    </w:p>
    <w:p w:rsidR="00A63ACA" w:rsidRDefault="00A63ACA" w:rsidP="001D3043">
      <w:pPr>
        <w:ind w:right="99" w:firstLine="720"/>
        <w:jc w:val="left"/>
        <w:rPr>
          <w:rStyle w:val="FooterChar"/>
          <w:rFonts w:cs="Arial"/>
          <w:b/>
          <w:bCs/>
          <w:lang w:val="en-GB"/>
        </w:rPr>
      </w:pPr>
    </w:p>
    <w:p w:rsidR="00CD6A30" w:rsidRPr="00A63ACA" w:rsidRDefault="00DB7844" w:rsidP="001D3043">
      <w:pPr>
        <w:ind w:right="99" w:firstLine="720"/>
        <w:jc w:val="left"/>
        <w:rPr>
          <w:rStyle w:val="FooterChar"/>
          <w:rFonts w:cs="Arial"/>
          <w:b/>
          <w:bCs/>
          <w:lang w:val="en-GB"/>
        </w:rPr>
      </w:pPr>
      <w:r>
        <w:rPr>
          <w:noProof/>
        </w:rPr>
        <w:drawing>
          <wp:anchor distT="0" distB="0" distL="0" distR="0" simplePos="0" relativeHeight="251661824" behindDoc="1" locked="0" layoutInCell="1" allowOverlap="1">
            <wp:simplePos x="0" y="0"/>
            <wp:positionH relativeFrom="page">
              <wp:posOffset>461010</wp:posOffset>
            </wp:positionH>
            <wp:positionV relativeFrom="paragraph">
              <wp:posOffset>54610</wp:posOffset>
            </wp:positionV>
            <wp:extent cx="445135" cy="492760"/>
            <wp:effectExtent l="0" t="0" r="0" b="0"/>
            <wp:wrapNone/>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ACA" w:rsidRDefault="00CD6A30" w:rsidP="001D3043">
      <w:pPr>
        <w:ind w:right="99" w:firstLine="720"/>
        <w:jc w:val="left"/>
        <w:rPr>
          <w:rStyle w:val="FooterChar"/>
          <w:rFonts w:cs="Arial"/>
          <w:b/>
          <w:bCs/>
          <w:lang w:val="en-GB"/>
        </w:rPr>
      </w:pPr>
      <w:r w:rsidRPr="003E2CBA">
        <w:rPr>
          <w:rStyle w:val="FooterChar"/>
          <w:rFonts w:cs="Arial"/>
          <w:b/>
          <w:bCs/>
          <w:w w:val="105"/>
          <w:lang w:val="en-GB"/>
        </w:rPr>
        <w:t>to operate only from the operating centre(s) on the licence</w:t>
      </w:r>
    </w:p>
    <w:p w:rsidR="00A63ACA" w:rsidRDefault="00A63ACA" w:rsidP="001D3043">
      <w:pPr>
        <w:ind w:right="99" w:firstLine="720"/>
        <w:jc w:val="left"/>
        <w:rPr>
          <w:rStyle w:val="FooterChar"/>
          <w:rFonts w:cs="Arial"/>
          <w:b/>
          <w:bCs/>
          <w:lang w:val="en-GB"/>
        </w:rPr>
      </w:pPr>
    </w:p>
    <w:p w:rsidR="00CD6A30" w:rsidRPr="00A63ACA" w:rsidRDefault="00DB7844" w:rsidP="001D3043">
      <w:pPr>
        <w:ind w:right="99" w:firstLine="720"/>
        <w:jc w:val="left"/>
        <w:rPr>
          <w:rStyle w:val="FooterChar"/>
          <w:rFonts w:cs="Arial"/>
          <w:b/>
          <w:bCs/>
          <w:lang w:val="en-GB"/>
        </w:rPr>
      </w:pPr>
      <w:r>
        <w:rPr>
          <w:noProof/>
        </w:rPr>
        <w:drawing>
          <wp:anchor distT="0" distB="0" distL="114300" distR="114300" simplePos="0" relativeHeight="251662848" behindDoc="1" locked="0" layoutInCell="1" allowOverlap="1">
            <wp:simplePos x="0" y="0"/>
            <wp:positionH relativeFrom="page">
              <wp:posOffset>461010</wp:posOffset>
            </wp:positionH>
            <wp:positionV relativeFrom="paragraph">
              <wp:posOffset>143510</wp:posOffset>
            </wp:positionV>
            <wp:extent cx="457835" cy="49276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B1D" w:rsidRDefault="00CD6A30" w:rsidP="001D3043">
      <w:pPr>
        <w:spacing w:after="240"/>
        <w:ind w:right="96" w:firstLine="720"/>
        <w:jc w:val="left"/>
        <w:rPr>
          <w:rStyle w:val="FooterChar"/>
          <w:rFonts w:cs="Arial"/>
          <w:b/>
          <w:bCs/>
          <w:w w:val="105"/>
          <w:lang w:val="en-GB"/>
        </w:rPr>
      </w:pPr>
      <w:r w:rsidRPr="003E2CBA">
        <w:rPr>
          <w:rStyle w:val="FooterChar"/>
          <w:rFonts w:cs="Arial"/>
          <w:b/>
          <w:bCs/>
          <w:w w:val="105"/>
          <w:lang w:val="en-GB"/>
        </w:rPr>
        <w:t>to tell the Traffic Commissioner within 28 days:</w:t>
      </w:r>
    </w:p>
    <w:p w:rsidR="005B6B1D" w:rsidRDefault="00CD6A30" w:rsidP="001D3043">
      <w:pPr>
        <w:spacing w:after="240"/>
        <w:ind w:left="720" w:right="96" w:firstLine="720"/>
        <w:jc w:val="left"/>
        <w:rPr>
          <w:rStyle w:val="FooterChar"/>
          <w:rFonts w:cs="Arial"/>
          <w:b/>
          <w:bCs/>
          <w:w w:val="105"/>
          <w:lang w:val="en-GB"/>
        </w:rPr>
      </w:pPr>
      <w:r w:rsidRPr="005B6B1D">
        <w:rPr>
          <w:rStyle w:val="FooterChar"/>
          <w:rFonts w:cs="Arial"/>
          <w:bCs/>
          <w:w w:val="110"/>
          <w:lang w:val="en-GB"/>
        </w:rPr>
        <w:t>about</w:t>
      </w:r>
      <w:r w:rsidRPr="005B6B1D">
        <w:rPr>
          <w:rStyle w:val="FooterChar"/>
          <w:rFonts w:cs="Arial"/>
          <w:bCs/>
          <w:spacing w:val="-13"/>
          <w:w w:val="110"/>
          <w:lang w:val="en-GB"/>
        </w:rPr>
        <w:t xml:space="preserve"> </w:t>
      </w:r>
      <w:r w:rsidRPr="005B6B1D">
        <w:rPr>
          <w:rStyle w:val="FooterChar"/>
          <w:rFonts w:cs="Arial"/>
          <w:bCs/>
          <w:w w:val="110"/>
          <w:lang w:val="en-GB"/>
        </w:rPr>
        <w:t>any</w:t>
      </w:r>
      <w:r w:rsidRPr="005B6B1D">
        <w:rPr>
          <w:rStyle w:val="FooterChar"/>
          <w:rFonts w:cs="Arial"/>
          <w:bCs/>
          <w:spacing w:val="-18"/>
          <w:w w:val="110"/>
          <w:lang w:val="en-GB"/>
        </w:rPr>
        <w:t xml:space="preserve"> </w:t>
      </w:r>
      <w:r w:rsidRPr="005B6B1D">
        <w:rPr>
          <w:rStyle w:val="FooterChar"/>
          <w:rFonts w:cs="Arial"/>
          <w:bCs/>
          <w:w w:val="110"/>
          <w:lang w:val="en-GB"/>
        </w:rPr>
        <w:t>convictions</w:t>
      </w:r>
      <w:r w:rsidRPr="005B6B1D">
        <w:rPr>
          <w:rStyle w:val="FooterChar"/>
          <w:rFonts w:cs="Arial"/>
          <w:bCs/>
          <w:spacing w:val="-13"/>
          <w:w w:val="110"/>
          <w:lang w:val="en-GB"/>
        </w:rPr>
        <w:t xml:space="preserve"> </w:t>
      </w:r>
      <w:r w:rsidRPr="005B6B1D">
        <w:rPr>
          <w:rStyle w:val="FooterChar"/>
          <w:rFonts w:cs="Arial"/>
          <w:bCs/>
          <w:w w:val="110"/>
          <w:lang w:val="en-GB"/>
        </w:rPr>
        <w:t>of</w:t>
      </w:r>
      <w:r w:rsidRPr="005B6B1D">
        <w:rPr>
          <w:rStyle w:val="FooterChar"/>
          <w:rFonts w:cs="Arial"/>
          <w:bCs/>
          <w:spacing w:val="-17"/>
          <w:w w:val="110"/>
          <w:lang w:val="en-GB"/>
        </w:rPr>
        <w:t xml:space="preserve"> </w:t>
      </w:r>
      <w:r w:rsidRPr="005B6B1D">
        <w:rPr>
          <w:rStyle w:val="FooterChar"/>
          <w:rFonts w:cs="Arial"/>
          <w:bCs/>
          <w:w w:val="110"/>
          <w:lang w:val="en-GB"/>
        </w:rPr>
        <w:t>myself</w:t>
      </w:r>
      <w:r w:rsidRPr="005B6B1D">
        <w:rPr>
          <w:rStyle w:val="FooterChar"/>
          <w:rFonts w:cs="Arial"/>
          <w:bCs/>
          <w:spacing w:val="-17"/>
          <w:w w:val="110"/>
          <w:lang w:val="en-GB"/>
        </w:rPr>
        <w:t xml:space="preserve"> </w:t>
      </w:r>
      <w:r w:rsidRPr="005B6B1D">
        <w:rPr>
          <w:rStyle w:val="FooterChar"/>
          <w:rFonts w:cs="Arial"/>
          <w:bCs/>
          <w:w w:val="110"/>
          <w:lang w:val="en-GB"/>
        </w:rPr>
        <w:t>or</w:t>
      </w:r>
      <w:r w:rsidRPr="005B6B1D">
        <w:rPr>
          <w:rStyle w:val="FooterChar"/>
          <w:rFonts w:cs="Arial"/>
          <w:bCs/>
          <w:spacing w:val="-17"/>
          <w:w w:val="110"/>
          <w:lang w:val="en-GB"/>
        </w:rPr>
        <w:t xml:space="preserve"> </w:t>
      </w:r>
      <w:r w:rsidRPr="005B6B1D">
        <w:rPr>
          <w:rStyle w:val="FooterChar"/>
          <w:rFonts w:cs="Arial"/>
          <w:bCs/>
          <w:w w:val="110"/>
          <w:lang w:val="en-GB"/>
        </w:rPr>
        <w:t>my</w:t>
      </w:r>
      <w:r w:rsidRPr="005B6B1D">
        <w:rPr>
          <w:rStyle w:val="FooterChar"/>
          <w:rFonts w:cs="Arial"/>
          <w:bCs/>
          <w:spacing w:val="-18"/>
          <w:w w:val="110"/>
          <w:lang w:val="en-GB"/>
        </w:rPr>
        <w:t xml:space="preserve"> </w:t>
      </w:r>
      <w:r w:rsidRPr="005B6B1D">
        <w:rPr>
          <w:rStyle w:val="FooterChar"/>
          <w:rFonts w:cs="Arial"/>
          <w:bCs/>
          <w:w w:val="110"/>
          <w:lang w:val="en-GB"/>
        </w:rPr>
        <w:t>staff</w:t>
      </w:r>
    </w:p>
    <w:p w:rsidR="005B6B1D" w:rsidRDefault="00CD6A30" w:rsidP="001D3043">
      <w:pPr>
        <w:spacing w:after="240"/>
        <w:ind w:left="720" w:right="96" w:firstLine="720"/>
        <w:jc w:val="left"/>
        <w:rPr>
          <w:rStyle w:val="FooterChar"/>
          <w:rFonts w:cs="Arial"/>
          <w:b/>
          <w:bCs/>
          <w:w w:val="105"/>
          <w:lang w:val="en-GB"/>
        </w:rPr>
      </w:pPr>
      <w:r w:rsidRPr="005B6B1D">
        <w:rPr>
          <w:rStyle w:val="FooterChar"/>
          <w:rFonts w:cs="Arial"/>
          <w:bCs/>
          <w:w w:val="110"/>
          <w:lang w:val="en-GB"/>
        </w:rPr>
        <w:t>a</w:t>
      </w:r>
      <w:r w:rsidRPr="005B6B1D">
        <w:rPr>
          <w:rStyle w:val="FooterChar"/>
          <w:rFonts w:cs="Arial"/>
          <w:bCs/>
          <w:spacing w:val="-22"/>
          <w:w w:val="110"/>
          <w:lang w:val="en-GB"/>
        </w:rPr>
        <w:t xml:space="preserve"> </w:t>
      </w:r>
      <w:r w:rsidRPr="005B6B1D">
        <w:rPr>
          <w:rStyle w:val="FooterChar"/>
          <w:rFonts w:cs="Arial"/>
          <w:bCs/>
          <w:w w:val="110"/>
          <w:lang w:val="en-GB"/>
        </w:rPr>
        <w:t>change</w:t>
      </w:r>
      <w:r w:rsidRPr="005B6B1D">
        <w:rPr>
          <w:rStyle w:val="FooterChar"/>
          <w:rFonts w:cs="Arial"/>
          <w:bCs/>
          <w:spacing w:val="-22"/>
          <w:w w:val="110"/>
          <w:lang w:val="en-GB"/>
        </w:rPr>
        <w:t xml:space="preserve"> </w:t>
      </w:r>
      <w:r w:rsidRPr="005B6B1D">
        <w:rPr>
          <w:rStyle w:val="FooterChar"/>
          <w:rFonts w:cs="Arial"/>
          <w:bCs/>
          <w:w w:val="110"/>
          <w:lang w:val="en-GB"/>
        </w:rPr>
        <w:t>in</w:t>
      </w:r>
      <w:r w:rsidRPr="005B6B1D">
        <w:rPr>
          <w:rStyle w:val="FooterChar"/>
          <w:rFonts w:cs="Arial"/>
          <w:bCs/>
          <w:spacing w:val="-22"/>
          <w:w w:val="110"/>
          <w:lang w:val="en-GB"/>
        </w:rPr>
        <w:t xml:space="preserve"> </w:t>
      </w:r>
      <w:r w:rsidRPr="005B6B1D">
        <w:rPr>
          <w:rStyle w:val="FooterChar"/>
          <w:rFonts w:cs="Arial"/>
          <w:bCs/>
          <w:w w:val="110"/>
          <w:lang w:val="en-GB"/>
        </w:rPr>
        <w:t>maintenance</w:t>
      </w:r>
      <w:r w:rsidRPr="005B6B1D">
        <w:rPr>
          <w:rStyle w:val="FooterChar"/>
          <w:rFonts w:cs="Arial"/>
          <w:bCs/>
          <w:spacing w:val="-22"/>
          <w:w w:val="110"/>
          <w:lang w:val="en-GB"/>
        </w:rPr>
        <w:t xml:space="preserve"> </w:t>
      </w:r>
      <w:r w:rsidRPr="005B6B1D">
        <w:rPr>
          <w:rStyle w:val="FooterChar"/>
          <w:rFonts w:cs="Arial"/>
          <w:bCs/>
          <w:w w:val="110"/>
          <w:lang w:val="en-GB"/>
        </w:rPr>
        <w:t>arrangements</w:t>
      </w:r>
    </w:p>
    <w:p w:rsidR="005B6B1D" w:rsidRDefault="00CD6A30" w:rsidP="001D3043">
      <w:pPr>
        <w:spacing w:after="240"/>
        <w:ind w:left="1440" w:right="96"/>
        <w:jc w:val="left"/>
        <w:rPr>
          <w:rStyle w:val="FooterChar"/>
          <w:rFonts w:cs="Arial"/>
          <w:b/>
          <w:bCs/>
          <w:w w:val="105"/>
          <w:lang w:val="en-GB"/>
        </w:rPr>
      </w:pPr>
      <w:r w:rsidRPr="005B6B1D">
        <w:rPr>
          <w:rStyle w:val="FooterChar"/>
          <w:rFonts w:cs="Arial"/>
          <w:bCs/>
          <w:w w:val="105"/>
          <w:lang w:val="en-GB"/>
        </w:rPr>
        <w:t xml:space="preserve">a planned change in entity </w:t>
      </w:r>
      <w:r w:rsidRPr="005B6B1D">
        <w:rPr>
          <w:rStyle w:val="FooterChar"/>
          <w:rFonts w:cs="Arial"/>
          <w:bCs/>
          <w:spacing w:val="-4"/>
          <w:w w:val="105"/>
          <w:lang w:val="en-GB"/>
        </w:rPr>
        <w:t xml:space="preserve">(eg </w:t>
      </w:r>
      <w:r w:rsidRPr="005B6B1D">
        <w:rPr>
          <w:rStyle w:val="FooterChar"/>
          <w:rFonts w:cs="Arial"/>
          <w:bCs/>
          <w:w w:val="105"/>
          <w:lang w:val="en-GB"/>
        </w:rPr>
        <w:t>from sole t</w:t>
      </w:r>
      <w:r w:rsidR="00A63ACA" w:rsidRPr="005B6B1D">
        <w:rPr>
          <w:rStyle w:val="FooterChar"/>
          <w:rFonts w:cs="Arial"/>
          <w:bCs/>
          <w:w w:val="105"/>
          <w:lang w:val="en-GB"/>
        </w:rPr>
        <w:t xml:space="preserve">rader to partnership or limited </w:t>
      </w:r>
      <w:r w:rsidRPr="005B6B1D">
        <w:rPr>
          <w:rStyle w:val="FooterChar"/>
          <w:rFonts w:cs="Arial"/>
          <w:bCs/>
          <w:w w:val="105"/>
          <w:lang w:val="en-GB"/>
        </w:rPr>
        <w:t>company)</w:t>
      </w:r>
    </w:p>
    <w:p w:rsidR="00CD6A30" w:rsidRPr="005B6B1D" w:rsidRDefault="00CD6A30" w:rsidP="00061267">
      <w:pPr>
        <w:spacing w:after="240"/>
        <w:ind w:left="1440" w:right="96"/>
        <w:jc w:val="left"/>
        <w:rPr>
          <w:rStyle w:val="FooterChar"/>
          <w:rFonts w:cs="Arial"/>
          <w:b/>
          <w:bCs/>
          <w:w w:val="105"/>
          <w:lang w:val="en-GB"/>
        </w:rPr>
      </w:pPr>
      <w:r w:rsidRPr="005B6B1D">
        <w:rPr>
          <w:rStyle w:val="FooterChar"/>
          <w:rFonts w:cs="Arial"/>
          <w:bCs/>
          <w:w w:val="110"/>
          <w:lang w:val="en-GB"/>
        </w:rPr>
        <w:t>a</w:t>
      </w:r>
      <w:r w:rsidRPr="005B6B1D">
        <w:rPr>
          <w:rStyle w:val="FooterChar"/>
          <w:rFonts w:cs="Arial"/>
          <w:bCs/>
          <w:spacing w:val="-18"/>
          <w:w w:val="110"/>
          <w:lang w:val="en-GB"/>
        </w:rPr>
        <w:t xml:space="preserve"> </w:t>
      </w:r>
      <w:r w:rsidRPr="005B6B1D">
        <w:rPr>
          <w:rStyle w:val="FooterChar"/>
          <w:rFonts w:cs="Arial"/>
          <w:bCs/>
          <w:w w:val="110"/>
          <w:lang w:val="en-GB"/>
        </w:rPr>
        <w:t>change</w:t>
      </w:r>
      <w:r w:rsidRPr="005B6B1D">
        <w:rPr>
          <w:rStyle w:val="FooterChar"/>
          <w:rFonts w:cs="Arial"/>
          <w:bCs/>
          <w:spacing w:val="-18"/>
          <w:w w:val="110"/>
          <w:lang w:val="en-GB"/>
        </w:rPr>
        <w:t xml:space="preserve"> </w:t>
      </w:r>
      <w:r w:rsidRPr="005B6B1D">
        <w:rPr>
          <w:rStyle w:val="FooterChar"/>
          <w:rFonts w:cs="Arial"/>
          <w:bCs/>
          <w:w w:val="110"/>
          <w:lang w:val="en-GB"/>
        </w:rPr>
        <w:t>in</w:t>
      </w:r>
      <w:r w:rsidRPr="005B6B1D">
        <w:rPr>
          <w:rStyle w:val="FooterChar"/>
          <w:rFonts w:cs="Arial"/>
          <w:bCs/>
          <w:spacing w:val="-18"/>
          <w:w w:val="110"/>
          <w:lang w:val="en-GB"/>
        </w:rPr>
        <w:t xml:space="preserve"> </w:t>
      </w:r>
      <w:r w:rsidRPr="005B6B1D">
        <w:rPr>
          <w:rStyle w:val="FooterChar"/>
          <w:rFonts w:cs="Arial"/>
          <w:bCs/>
          <w:w w:val="110"/>
          <w:lang w:val="en-GB"/>
        </w:rPr>
        <w:t>financial</w:t>
      </w:r>
      <w:r w:rsidRPr="005B6B1D">
        <w:rPr>
          <w:rStyle w:val="FooterChar"/>
          <w:rFonts w:cs="Arial"/>
          <w:bCs/>
          <w:spacing w:val="-21"/>
          <w:w w:val="110"/>
          <w:lang w:val="en-GB"/>
        </w:rPr>
        <w:t xml:space="preserve"> </w:t>
      </w:r>
      <w:r w:rsidRPr="005B6B1D">
        <w:rPr>
          <w:rStyle w:val="FooterChar"/>
          <w:rFonts w:cs="Arial"/>
          <w:bCs/>
          <w:w w:val="110"/>
          <w:lang w:val="en-GB"/>
        </w:rPr>
        <w:t>status</w:t>
      </w:r>
      <w:r w:rsidRPr="005B6B1D">
        <w:rPr>
          <w:rStyle w:val="FooterChar"/>
          <w:rFonts w:cs="Arial"/>
          <w:bCs/>
          <w:spacing w:val="-18"/>
          <w:w w:val="110"/>
          <w:lang w:val="en-GB"/>
        </w:rPr>
        <w:t xml:space="preserve"> </w:t>
      </w:r>
      <w:r w:rsidRPr="005B6B1D">
        <w:rPr>
          <w:rStyle w:val="FooterChar"/>
          <w:rFonts w:cs="Arial"/>
          <w:bCs/>
          <w:spacing w:val="-4"/>
          <w:w w:val="110"/>
          <w:lang w:val="en-GB"/>
        </w:rPr>
        <w:t>(eg</w:t>
      </w:r>
      <w:r w:rsidRPr="005B6B1D">
        <w:rPr>
          <w:rStyle w:val="FooterChar"/>
          <w:rFonts w:cs="Arial"/>
          <w:bCs/>
          <w:spacing w:val="-18"/>
          <w:w w:val="110"/>
          <w:lang w:val="en-GB"/>
        </w:rPr>
        <w:t xml:space="preserve"> </w:t>
      </w:r>
      <w:r w:rsidRPr="005B6B1D">
        <w:rPr>
          <w:rStyle w:val="FooterChar"/>
          <w:rFonts w:cs="Arial"/>
          <w:bCs/>
          <w:w w:val="110"/>
          <w:lang w:val="en-GB"/>
        </w:rPr>
        <w:t>bankruptcy</w:t>
      </w:r>
      <w:r w:rsidRPr="005B6B1D">
        <w:rPr>
          <w:rStyle w:val="FooterChar"/>
          <w:rFonts w:cs="Arial"/>
          <w:bCs/>
          <w:spacing w:val="-22"/>
          <w:w w:val="110"/>
          <w:lang w:val="en-GB"/>
        </w:rPr>
        <w:t xml:space="preserve"> </w:t>
      </w:r>
      <w:r w:rsidRPr="005B6B1D">
        <w:rPr>
          <w:rStyle w:val="FooterChar"/>
          <w:rFonts w:cs="Arial"/>
          <w:bCs/>
          <w:w w:val="110"/>
          <w:lang w:val="en-GB"/>
        </w:rPr>
        <w:t>or</w:t>
      </w:r>
      <w:r w:rsidRPr="005B6B1D">
        <w:rPr>
          <w:rStyle w:val="FooterChar"/>
          <w:rFonts w:cs="Arial"/>
          <w:bCs/>
          <w:spacing w:val="-22"/>
          <w:w w:val="110"/>
          <w:lang w:val="en-GB"/>
        </w:rPr>
        <w:t xml:space="preserve"> </w:t>
      </w:r>
      <w:r w:rsidRPr="005B6B1D">
        <w:rPr>
          <w:rStyle w:val="FooterChar"/>
          <w:rFonts w:cs="Arial"/>
          <w:bCs/>
          <w:w w:val="110"/>
          <w:lang w:val="en-GB"/>
        </w:rPr>
        <w:t>entering</w:t>
      </w:r>
      <w:r w:rsidRPr="005B6B1D">
        <w:rPr>
          <w:rStyle w:val="FooterChar"/>
          <w:rFonts w:cs="Arial"/>
          <w:bCs/>
          <w:spacing w:val="-18"/>
          <w:w w:val="110"/>
          <w:lang w:val="en-GB"/>
        </w:rPr>
        <w:t xml:space="preserve"> </w:t>
      </w:r>
      <w:r w:rsidRPr="005B6B1D">
        <w:rPr>
          <w:rStyle w:val="FooterChar"/>
          <w:rFonts w:cs="Arial"/>
          <w:bCs/>
          <w:w w:val="110"/>
          <w:lang w:val="en-GB"/>
        </w:rPr>
        <w:t>administration)</w:t>
      </w:r>
    </w:p>
    <w:p w:rsidR="00CD6A30" w:rsidRPr="003E2CBA" w:rsidRDefault="00DB7844" w:rsidP="001D3043">
      <w:pPr>
        <w:pStyle w:val="Heading1"/>
        <w:tabs>
          <w:tab w:val="left" w:pos="9923"/>
        </w:tabs>
        <w:spacing w:before="153"/>
        <w:ind w:left="720" w:right="1496"/>
        <w:jc w:val="left"/>
        <w:rPr>
          <w:rFonts w:cs="Arial"/>
          <w:b/>
          <w:sz w:val="32"/>
          <w:szCs w:val="32"/>
        </w:rPr>
      </w:pPr>
      <w:r>
        <w:rPr>
          <w:noProof/>
        </w:rPr>
        <w:drawing>
          <wp:anchor distT="0" distB="0" distL="0" distR="0" simplePos="0" relativeHeight="251658752" behindDoc="0" locked="0" layoutInCell="1" allowOverlap="1">
            <wp:simplePos x="0" y="0"/>
            <wp:positionH relativeFrom="page">
              <wp:posOffset>552450</wp:posOffset>
            </wp:positionH>
            <wp:positionV relativeFrom="paragraph">
              <wp:posOffset>92075</wp:posOffset>
            </wp:positionV>
            <wp:extent cx="248285" cy="248285"/>
            <wp:effectExtent l="0" t="0" r="0" b="0"/>
            <wp:wrapNone/>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30" w:rsidRPr="005B6B1D">
        <w:rPr>
          <w:rFonts w:cs="Arial"/>
          <w:b/>
          <w:sz w:val="32"/>
          <w:szCs w:val="32"/>
        </w:rPr>
        <w:t>If I</w:t>
      </w:r>
      <w:r w:rsidR="00CD6A30" w:rsidRPr="003E2CBA">
        <w:rPr>
          <w:rFonts w:cs="Arial"/>
          <w:b/>
          <w:sz w:val="32"/>
          <w:szCs w:val="32"/>
        </w:rPr>
        <w:t xml:space="preserve"> fail to keep these promises, I could lose my licence.</w:t>
      </w:r>
    </w:p>
    <w:p w:rsidR="000D71A6" w:rsidRPr="00AC3D48" w:rsidRDefault="000D71A6" w:rsidP="00313E9D">
      <w:pPr>
        <w:rPr>
          <w:rFonts w:cs="Arial"/>
        </w:rPr>
      </w:pPr>
      <w:r w:rsidRPr="00AC3D48">
        <w:rPr>
          <w:rFonts w:cs="Arial"/>
        </w:rPr>
        <w:t xml:space="preserve"> </w:t>
      </w:r>
    </w:p>
    <w:p w:rsidR="002A3A59" w:rsidRPr="00AC3D48" w:rsidRDefault="002A3A59">
      <w:pPr>
        <w:rPr>
          <w:rFonts w:cs="Arial"/>
        </w:rPr>
      </w:pPr>
      <w:r w:rsidRPr="00AC3D48">
        <w:rPr>
          <w:rFonts w:cs="Arial"/>
        </w:rPr>
        <w:br w:type="page"/>
      </w:r>
      <w:r w:rsidRPr="00AC3D48">
        <w:rPr>
          <w:rFonts w:cs="Arial"/>
        </w:rPr>
        <w:lastRenderedPageBreak/>
        <w:t>Notes:</w:t>
      </w:r>
    </w:p>
    <w:p w:rsidR="002A3A59" w:rsidRPr="00AC3D48" w:rsidRDefault="002A3A59">
      <w:pPr>
        <w:rPr>
          <w:rFonts w:cs="Arial"/>
        </w:rPr>
      </w:pPr>
    </w:p>
    <w:p w:rsidR="00C27E85" w:rsidRPr="00AC3D48" w:rsidRDefault="00C27E85" w:rsidP="00C27E85">
      <w:pPr>
        <w:rPr>
          <w:rFonts w:cs="Arial"/>
        </w:rPr>
      </w:pPr>
      <w:r w:rsidRPr="00AC3D48">
        <w:rPr>
          <w:rFonts w:cs="Arial"/>
        </w:rPr>
        <w:t xml:space="preserve">1. </w:t>
      </w:r>
      <w:r w:rsidR="0087484C" w:rsidRPr="00AC3D48">
        <w:rPr>
          <w:rFonts w:cs="Arial"/>
        </w:rPr>
        <w:t xml:space="preserve">The continuation fee is payable before the end of the month which precedes the date of expiry of a period of 5 years, beginning with the date of either the issuing of the licence or the most recent </w:t>
      </w:r>
      <w:proofErr w:type="gramStart"/>
      <w:r w:rsidR="0087484C" w:rsidRPr="00AC3D48">
        <w:rPr>
          <w:rFonts w:cs="Arial"/>
        </w:rPr>
        <w:t>5 year</w:t>
      </w:r>
      <w:proofErr w:type="gramEnd"/>
      <w:r w:rsidR="0087484C" w:rsidRPr="00AC3D48">
        <w:rPr>
          <w:rFonts w:cs="Arial"/>
        </w:rPr>
        <w:t xml:space="preserve"> anniversary of that date, whichever is the later.  There is no legal obligation for the traffic commissioner to send a reminder that the continuation fee is due although a licence checklist will be sent to the correspondence address of the licence </w:t>
      </w:r>
      <w:r w:rsidR="000D71A6" w:rsidRPr="00AC3D48">
        <w:rPr>
          <w:rFonts w:cs="Arial"/>
        </w:rPr>
        <w:t>holder kept</w:t>
      </w:r>
      <w:r w:rsidR="0087484C" w:rsidRPr="00AC3D48">
        <w:rPr>
          <w:rFonts w:cs="Arial"/>
        </w:rPr>
        <w:t xml:space="preserve"> on file.  If you have received no contact two weeks before the continuation date, please urgently contact the Central Licensing Office.</w:t>
      </w:r>
    </w:p>
    <w:p w:rsidR="00C27E85" w:rsidRPr="00AC3D48" w:rsidRDefault="00C27E85" w:rsidP="00C27E85">
      <w:pPr>
        <w:rPr>
          <w:rFonts w:cs="Arial"/>
        </w:rPr>
      </w:pPr>
    </w:p>
    <w:p w:rsidR="00C27E85" w:rsidRPr="00AC3D48" w:rsidRDefault="00C27E85" w:rsidP="00C27E85">
      <w:pPr>
        <w:rPr>
          <w:rFonts w:cs="Arial"/>
        </w:rPr>
      </w:pPr>
      <w:r w:rsidRPr="00AC3D48">
        <w:rPr>
          <w:rFonts w:cs="Arial"/>
        </w:rPr>
        <w:t xml:space="preserve">2. </w:t>
      </w:r>
      <w:r w:rsidR="0087484C" w:rsidRPr="00AC3D48">
        <w:rPr>
          <w:rFonts w:cs="Arial"/>
        </w:rPr>
        <w:t>The “holder” of a licence is the person to whom the licence was issued. An operating centre is defined as the base or centre at which the licence holder’s vehicles (and trailers) are normally kept. Every five years, for a period of two months the traffic commissioner has the power under section 30 of the Goods Vehicles (Licensing of Operators) Act 1995 to review the suitability of an operating centre should there be any concerns.  If a review is to be conducted an operator will be contacted in writing.</w:t>
      </w:r>
    </w:p>
    <w:p w:rsidR="00C27E85" w:rsidRPr="00AC3D48" w:rsidRDefault="00C27E85" w:rsidP="00C27E85">
      <w:pPr>
        <w:rPr>
          <w:rFonts w:cs="Arial"/>
        </w:rPr>
      </w:pPr>
    </w:p>
    <w:p w:rsidR="00C27E85" w:rsidRPr="00AC3D48" w:rsidRDefault="00C27E85" w:rsidP="00C27E85">
      <w:pPr>
        <w:rPr>
          <w:rFonts w:cs="Arial"/>
        </w:rPr>
      </w:pPr>
      <w:r w:rsidRPr="00AC3D48">
        <w:rPr>
          <w:rFonts w:cs="Arial"/>
        </w:rPr>
        <w:t>3. This licence authorises the use of a maximum number of vehicles and trailers by the licence holder. Vehicles currently in the holder’s possession, and for which vehicle discs have been issued, are recorded as “specified” vehicles on the licence. The difference between the number of vehicles in possession and the total authorisation is known as the “margin”.</w:t>
      </w:r>
    </w:p>
    <w:p w:rsidR="00C27E85" w:rsidRPr="00AC3D48" w:rsidRDefault="00C27E85" w:rsidP="00C27E85">
      <w:pPr>
        <w:rPr>
          <w:rFonts w:cs="Arial"/>
        </w:rPr>
      </w:pPr>
    </w:p>
    <w:p w:rsidR="00C27E85" w:rsidRPr="00AC3D48" w:rsidRDefault="00C27E85" w:rsidP="00C27E85">
      <w:pPr>
        <w:rPr>
          <w:rFonts w:cs="Arial"/>
        </w:rPr>
      </w:pPr>
      <w:r w:rsidRPr="00AC3D48">
        <w:rPr>
          <w:rFonts w:cs="Arial"/>
        </w:rPr>
        <w:t>4. Within the margin, the licence holder may operate vehicles additional to those currently specified on the licence (but without exceeding the total authorisation) for a maximum of one month beginning with the day on which the vehicle was first in the licence holder’s lawful possession. If the period of use of any vehicle is one month or less there is no requirement to notify the central licensing office. To use a vehicle for more than one month, and remain within the law, the licence holder must inform the central licensing office before that month is up. The vehicle then becomes specified on the licence and the margin is reduced accordingly.</w:t>
      </w:r>
    </w:p>
    <w:p w:rsidR="00C27E85" w:rsidRPr="00AC3D48" w:rsidRDefault="00C27E85" w:rsidP="00C27E85">
      <w:pPr>
        <w:rPr>
          <w:rFonts w:cs="Arial"/>
        </w:rPr>
      </w:pPr>
    </w:p>
    <w:p w:rsidR="00C27E85" w:rsidRPr="00AC3D48" w:rsidRDefault="00C27E85" w:rsidP="00C27E85">
      <w:pPr>
        <w:rPr>
          <w:rFonts w:cs="Arial"/>
        </w:rPr>
      </w:pPr>
      <w:r w:rsidRPr="00AC3D48">
        <w:rPr>
          <w:rFonts w:cs="Arial"/>
        </w:rPr>
        <w:t>5. If the vehicles specified on the licence are equal to the total authorisation, the holder cannot operate any additional vehicles, temporarily or otherwise, without having first applied for, and been granted, authority to do so.</w:t>
      </w:r>
    </w:p>
    <w:p w:rsidR="00C27E85" w:rsidRPr="00AC3D48" w:rsidRDefault="00C27E85" w:rsidP="00C27E85">
      <w:pPr>
        <w:rPr>
          <w:rFonts w:cs="Arial"/>
        </w:rPr>
      </w:pPr>
    </w:p>
    <w:p w:rsidR="00C27E85" w:rsidRPr="00AC3D48" w:rsidRDefault="00C27E85" w:rsidP="00C27E85">
      <w:pPr>
        <w:rPr>
          <w:rFonts w:cs="Arial"/>
        </w:rPr>
      </w:pPr>
      <w:r w:rsidRPr="00AC3D48">
        <w:rPr>
          <w:rFonts w:cs="Arial"/>
        </w:rPr>
        <w:t>6. The licence holder cannot change or add an operating centre without having first applied for, and been granted, authority to do so. Failure to obtain authority to use a place as an operating centre may result in a fine on summary conviction and disciplinary action being taken against the licence.</w:t>
      </w:r>
    </w:p>
    <w:p w:rsidR="00C27E85" w:rsidRPr="00AC3D48" w:rsidRDefault="00C27E85" w:rsidP="00C27E85">
      <w:pPr>
        <w:rPr>
          <w:rFonts w:cs="Arial"/>
        </w:rPr>
      </w:pPr>
    </w:p>
    <w:p w:rsidR="00C27E85" w:rsidRPr="00AC3D48" w:rsidRDefault="00C27E85" w:rsidP="00C27E85">
      <w:pPr>
        <w:rPr>
          <w:rFonts w:cs="Arial"/>
        </w:rPr>
      </w:pPr>
      <w:r w:rsidRPr="00AC3D48">
        <w:rPr>
          <w:rFonts w:cs="Arial"/>
        </w:rPr>
        <w:t>7. In addition to the general conditions detailed elsewhere in this document, legislation requires licence holders to inform the traffic commissioner of any change of correspondence address, within 28 days. Failure to inform the traffic commissioner of a change of correspondence address may result in the revocation of the licence.</w:t>
      </w:r>
    </w:p>
    <w:p w:rsidR="00C27E85" w:rsidRPr="00AC3D48" w:rsidRDefault="00C27E85" w:rsidP="00C27E85">
      <w:pPr>
        <w:rPr>
          <w:rFonts w:cs="Arial"/>
        </w:rPr>
      </w:pPr>
    </w:p>
    <w:p w:rsidR="00C27E85" w:rsidRPr="000D71A6" w:rsidRDefault="00C27E85" w:rsidP="00C27E85">
      <w:pPr>
        <w:rPr>
          <w:rFonts w:cs="Arial"/>
        </w:rPr>
      </w:pPr>
      <w:r w:rsidRPr="00AC3D48">
        <w:rPr>
          <w:rFonts w:cs="Arial"/>
        </w:rPr>
        <w:t>8. A licence holder who does not fulfil an undertaking or condition recorded on his licence may be committing an offence and will be liable to disciplinary action by the traffic commissioner. A licence may be revoked, suspended or curtailed.</w:t>
      </w:r>
    </w:p>
    <w:p w:rsidR="00C27E85" w:rsidRPr="000D71A6" w:rsidRDefault="00C27E85" w:rsidP="00C27E85">
      <w:pPr>
        <w:rPr>
          <w:rFonts w:cs="Arial"/>
        </w:rPr>
      </w:pPr>
    </w:p>
    <w:sectPr w:rsidR="00C27E85" w:rsidRPr="000D71A6" w:rsidSect="000D71A6">
      <w:footerReference w:type="default" r:id="rId20"/>
      <w:footerReference w:type="first" r:id="rId21"/>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27F" w:rsidRDefault="0037527F">
      <w:r>
        <w:separator/>
      </w:r>
    </w:p>
  </w:endnote>
  <w:endnote w:type="continuationSeparator" w:id="0">
    <w:p w:rsidR="0037527F" w:rsidRDefault="003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59" w:rsidRDefault="002A3A59">
    <w:pPr>
      <w:pStyle w:val="Footer"/>
      <w:framePr w:wrap="auto" w:vAnchor="text" w:hAnchor="margin" w:xAlign="right" w:y="1"/>
      <w:rPr>
        <w:rStyle w:val="PageNumber"/>
        <w:rFonts w:ascii="Arial" w:hAnsi="Arial" w:cs="Arial"/>
      </w:rPr>
    </w:pPr>
  </w:p>
  <w:p w:rsidR="002A3A59" w:rsidRPr="00F7726D" w:rsidRDefault="0037527F">
    <w:pPr>
      <w:pStyle w:val="Footer"/>
      <w:ind w:right="360"/>
    </w:pPr>
    <w:r>
      <w:t xml:space="preserve">Page </w:t>
    </w:r>
    <w:r w:rsidRPr="00F7726D">
      <w:rPr>
        <w:rStyle w:val="PageNumber"/>
        <w:rFonts w:ascii="Arial" w:hAnsi="Arial" w:cs="Arial"/>
      </w:rPr>
      <w:fldChar w:fldCharType="begin"/>
    </w:r>
    <w:r w:rsidRPr="00F7726D">
      <w:rPr>
        <w:rStyle w:val="PageNumber"/>
        <w:rFonts w:ascii="Arial" w:hAnsi="Arial" w:cs="Arial"/>
      </w:rPr>
      <w:instrText xml:space="preserve"> PAGE </w:instrText>
    </w:r>
    <w:r w:rsidRPr="00F7726D">
      <w:rPr>
        <w:rStyle w:val="PageNumber"/>
        <w:rFonts w:ascii="Arial" w:hAnsi="Arial" w:cs="Arial"/>
      </w:rPr>
      <w:fldChar w:fldCharType="separate"/>
    </w:r>
    <w:r w:rsidR="00DB7844">
      <w:rPr>
        <w:rStyle w:val="PageNumber"/>
        <w:rFonts w:ascii="Arial" w:hAnsi="Arial" w:cs="Arial"/>
        <w:noProof/>
      </w:rPr>
      <w:t>2</w:t>
    </w:r>
    <w:r w:rsidRPr="00F7726D">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49" w:rsidRPr="00A85440" w:rsidRDefault="0037527F" w:rsidP="00A85440">
    <w:pPr>
      <w:pStyle w:val="Footer"/>
    </w:pPr>
    <w:r>
      <w:t xml:space="preserve">Page </w:t>
    </w:r>
    <w:r>
      <w:t>1</w:t>
    </w:r>
    <w:r>
      <w:t xml:space="preserve">   </w:t>
    </w:r>
    <w:r>
      <w:tab/>
    </w:r>
    <w:r>
      <w:t xml:space="preserve">                                                          </w:t>
    </w:r>
    <w:r>
      <w:t>Date of issue or re-issue:</w:t>
    </w:r>
    <w:r>
      <w:t xml:space="preserve"> </w:t>
    </w:r>
    <w:r w:rsidRPr="00A85440">
      <w:t>25/07/2017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27F" w:rsidRDefault="0037527F">
      <w:r>
        <w:separator/>
      </w:r>
    </w:p>
  </w:footnote>
  <w:footnote w:type="continuationSeparator" w:id="0">
    <w:p w:rsidR="0037527F" w:rsidRDefault="0037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86C"/>
    <w:multiLevelType w:val="hybridMultilevel"/>
    <w:tmpl w:val="D5801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Courier New" w:hAnsi="Courier New"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Courier New" w:hAnsi="Courier New" w:hint="default"/>
      </w:rPr>
    </w:lvl>
  </w:abstractNum>
  <w:abstractNum w:abstractNumId="1" w15:restartNumberingAfterBreak="0">
    <w:nsid w:val="20FD31B3"/>
    <w:multiLevelType w:val="hybridMultilevel"/>
    <w:tmpl w:val="9FF625AA"/>
    <w:lvl w:ilvl="0" w:tplc="5A748F7E">
      <w:start w:val="1"/>
      <w:numFmt w:val="decimal"/>
      <w:lvlText w:val="%1."/>
      <w:lvlJc w:val="left"/>
      <w:pPr>
        <w:tabs>
          <w:tab w:val="num" w:pos="720"/>
        </w:tabs>
        <w:ind w:left="720" w:hanging="360"/>
      </w:pPr>
      <w:rPr>
        <w:rFonts w:ascii="Times New Roman" w:hAnsi="Times New Roman" w:cs="Times New Roman"/>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8420232"/>
    <w:multiLevelType w:val="hybridMultilevel"/>
    <w:tmpl w:val="EBF4782E"/>
    <w:lvl w:ilvl="0" w:tplc="08090001">
      <w:start w:val="1"/>
      <w:numFmt w:val="bullet"/>
      <w:lvlText w:val=""/>
      <w:lvlJc w:val="left"/>
      <w:pPr>
        <w:tabs>
          <w:tab w:val="num" w:pos="960"/>
        </w:tabs>
        <w:ind w:left="960" w:hanging="360"/>
      </w:pPr>
      <w:rPr>
        <w:rFonts w:ascii="Symbol" w:hAnsi="Symbol" w:hint="default"/>
      </w:rPr>
    </w:lvl>
    <w:lvl w:ilvl="1" w:tplc="04090019">
      <w:start w:val="1"/>
      <w:numFmt w:val="lowerLetter"/>
      <w:lvlText w:val="%2."/>
      <w:lvlJc w:val="left"/>
      <w:pPr>
        <w:tabs>
          <w:tab w:val="num" w:pos="1680"/>
        </w:tabs>
        <w:ind w:left="1680" w:hanging="360"/>
      </w:pPr>
      <w:rPr>
        <w:rFonts w:cs="Arial"/>
      </w:rPr>
    </w:lvl>
    <w:lvl w:ilvl="2" w:tplc="0409001B">
      <w:start w:val="1"/>
      <w:numFmt w:val="lowerRoman"/>
      <w:lvlText w:val="%3."/>
      <w:lvlJc w:val="right"/>
      <w:pPr>
        <w:tabs>
          <w:tab w:val="num" w:pos="2400"/>
        </w:tabs>
        <w:ind w:left="2400" w:hanging="180"/>
      </w:pPr>
      <w:rPr>
        <w:rFonts w:cs="Arial"/>
      </w:rPr>
    </w:lvl>
    <w:lvl w:ilvl="3" w:tplc="0409000F">
      <w:start w:val="1"/>
      <w:numFmt w:val="decimal"/>
      <w:lvlText w:val="%4."/>
      <w:lvlJc w:val="left"/>
      <w:pPr>
        <w:tabs>
          <w:tab w:val="num" w:pos="3120"/>
        </w:tabs>
        <w:ind w:left="3120" w:hanging="360"/>
      </w:pPr>
      <w:rPr>
        <w:rFonts w:cs="Arial"/>
      </w:rPr>
    </w:lvl>
    <w:lvl w:ilvl="4" w:tplc="04090019">
      <w:start w:val="1"/>
      <w:numFmt w:val="lowerLetter"/>
      <w:lvlText w:val="%5."/>
      <w:lvlJc w:val="left"/>
      <w:pPr>
        <w:tabs>
          <w:tab w:val="num" w:pos="3840"/>
        </w:tabs>
        <w:ind w:left="3840" w:hanging="360"/>
      </w:pPr>
      <w:rPr>
        <w:rFonts w:cs="Arial"/>
      </w:rPr>
    </w:lvl>
    <w:lvl w:ilvl="5" w:tplc="0409001B">
      <w:start w:val="1"/>
      <w:numFmt w:val="lowerRoman"/>
      <w:lvlText w:val="%6."/>
      <w:lvlJc w:val="right"/>
      <w:pPr>
        <w:tabs>
          <w:tab w:val="num" w:pos="4560"/>
        </w:tabs>
        <w:ind w:left="4560" w:hanging="180"/>
      </w:pPr>
      <w:rPr>
        <w:rFonts w:cs="Arial"/>
      </w:rPr>
    </w:lvl>
    <w:lvl w:ilvl="6" w:tplc="0409000F">
      <w:start w:val="1"/>
      <w:numFmt w:val="decimal"/>
      <w:lvlText w:val="%7."/>
      <w:lvlJc w:val="left"/>
      <w:pPr>
        <w:tabs>
          <w:tab w:val="num" w:pos="5280"/>
        </w:tabs>
        <w:ind w:left="5280" w:hanging="360"/>
      </w:pPr>
      <w:rPr>
        <w:rFonts w:cs="Arial"/>
      </w:rPr>
    </w:lvl>
    <w:lvl w:ilvl="7" w:tplc="04090019">
      <w:start w:val="1"/>
      <w:numFmt w:val="lowerLetter"/>
      <w:lvlText w:val="%8."/>
      <w:lvlJc w:val="left"/>
      <w:pPr>
        <w:tabs>
          <w:tab w:val="num" w:pos="6000"/>
        </w:tabs>
        <w:ind w:left="6000" w:hanging="360"/>
      </w:pPr>
      <w:rPr>
        <w:rFonts w:cs="Arial"/>
      </w:rPr>
    </w:lvl>
    <w:lvl w:ilvl="8" w:tplc="0409001B">
      <w:start w:val="1"/>
      <w:numFmt w:val="lowerRoman"/>
      <w:lvlText w:val="%9."/>
      <w:lvlJc w:val="right"/>
      <w:pPr>
        <w:tabs>
          <w:tab w:val="num" w:pos="6720"/>
        </w:tabs>
        <w:ind w:left="6720" w:hanging="180"/>
      </w:pPr>
      <w:rPr>
        <w:rFonts w:cs="Arial"/>
      </w:rPr>
    </w:lvl>
  </w:abstractNum>
  <w:abstractNum w:abstractNumId="3" w15:restartNumberingAfterBreak="0">
    <w:nsid w:val="3EA919EB"/>
    <w:multiLevelType w:val="hybridMultilevel"/>
    <w:tmpl w:val="08E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Courier New" w:hAnsi="Courier New" w:hint="default"/>
      </w:rPr>
    </w:lvl>
  </w:abstractNum>
  <w:abstractNum w:abstractNumId="4" w15:restartNumberingAfterBreak="0">
    <w:nsid w:val="498D7863"/>
    <w:multiLevelType w:val="hybridMultilevel"/>
    <w:tmpl w:val="0318F8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Courier New" w:hAnsi="Courier New"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Courier New" w:hAnsi="Courier New"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Courier New" w:hAnsi="Courier New" w:hint="default"/>
      </w:rPr>
    </w:lvl>
  </w:abstractNum>
  <w:abstractNum w:abstractNumId="5" w15:restartNumberingAfterBreak="0">
    <w:nsid w:val="5ABA6618"/>
    <w:multiLevelType w:val="hybridMultilevel"/>
    <w:tmpl w:val="C3C03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Courier New" w:hAnsi="Courier New" w:hint="default"/>
      </w:rPr>
    </w:lvl>
  </w:abstractNum>
  <w:abstractNum w:abstractNumId="6" w15:restartNumberingAfterBreak="0">
    <w:nsid w:val="61704EBC"/>
    <w:multiLevelType w:val="hybridMultilevel"/>
    <w:tmpl w:val="8B7A5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Courier New" w:hAnsi="Courier New"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Courier New" w:hAnsi="Courier New" w:hint="default"/>
      </w:rPr>
    </w:lvl>
  </w:abstractNum>
  <w:abstractNum w:abstractNumId="7" w15:restartNumberingAfterBreak="0">
    <w:nsid w:val="62400834"/>
    <w:multiLevelType w:val="hybridMultilevel"/>
    <w:tmpl w:val="C0C829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Courier New" w:hAnsi="Courier New"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Courier New" w:hAnsi="Courier New"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Courier New" w:hAnsi="Courier New" w:hint="default"/>
      </w:rPr>
    </w:lvl>
  </w:abstractNum>
  <w:abstractNum w:abstractNumId="8" w15:restartNumberingAfterBreak="0">
    <w:nsid w:val="6A4D6A3F"/>
    <w:multiLevelType w:val="hybridMultilevel"/>
    <w:tmpl w:val="28C8DE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Courier New" w:hAnsi="Courier New" w:hint="default"/>
      </w:rPr>
    </w:lvl>
  </w:abstractNum>
  <w:abstractNum w:abstractNumId="9" w15:restartNumberingAfterBreak="0">
    <w:nsid w:val="6B980280"/>
    <w:multiLevelType w:val="hybridMultilevel"/>
    <w:tmpl w:val="2334D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Courier New" w:hAnsi="Courier New" w:hint="default"/>
      </w:rPr>
    </w:lvl>
  </w:abstractNum>
  <w:abstractNum w:abstractNumId="10" w15:restartNumberingAfterBreak="0">
    <w:nsid w:val="6BCE075D"/>
    <w:multiLevelType w:val="hybridMultilevel"/>
    <w:tmpl w:val="B37ADF8A"/>
    <w:lvl w:ilvl="0" w:tplc="6E90E73E">
      <w:start w:val="1"/>
      <w:numFmt w:val="decimal"/>
      <w:lvlText w:val="%1."/>
      <w:lvlJc w:val="left"/>
      <w:pPr>
        <w:tabs>
          <w:tab w:val="num" w:pos="960"/>
        </w:tabs>
        <w:ind w:left="960" w:hanging="360"/>
      </w:pPr>
      <w:rPr>
        <w:rFonts w:cs="Arial" w:hint="default"/>
      </w:rPr>
    </w:lvl>
    <w:lvl w:ilvl="1" w:tplc="04090019">
      <w:start w:val="1"/>
      <w:numFmt w:val="lowerLetter"/>
      <w:lvlText w:val="%2."/>
      <w:lvlJc w:val="left"/>
      <w:pPr>
        <w:tabs>
          <w:tab w:val="num" w:pos="1680"/>
        </w:tabs>
        <w:ind w:left="1680" w:hanging="360"/>
      </w:pPr>
      <w:rPr>
        <w:rFonts w:cs="Arial"/>
      </w:rPr>
    </w:lvl>
    <w:lvl w:ilvl="2" w:tplc="0409001B">
      <w:start w:val="1"/>
      <w:numFmt w:val="lowerRoman"/>
      <w:lvlText w:val="%3."/>
      <w:lvlJc w:val="right"/>
      <w:pPr>
        <w:tabs>
          <w:tab w:val="num" w:pos="2400"/>
        </w:tabs>
        <w:ind w:left="2400" w:hanging="180"/>
      </w:pPr>
      <w:rPr>
        <w:rFonts w:cs="Arial"/>
      </w:rPr>
    </w:lvl>
    <w:lvl w:ilvl="3" w:tplc="0409000F">
      <w:start w:val="1"/>
      <w:numFmt w:val="decimal"/>
      <w:lvlText w:val="%4."/>
      <w:lvlJc w:val="left"/>
      <w:pPr>
        <w:tabs>
          <w:tab w:val="num" w:pos="3120"/>
        </w:tabs>
        <w:ind w:left="3120" w:hanging="360"/>
      </w:pPr>
      <w:rPr>
        <w:rFonts w:cs="Arial"/>
      </w:rPr>
    </w:lvl>
    <w:lvl w:ilvl="4" w:tplc="04090019">
      <w:start w:val="1"/>
      <w:numFmt w:val="lowerLetter"/>
      <w:lvlText w:val="%5."/>
      <w:lvlJc w:val="left"/>
      <w:pPr>
        <w:tabs>
          <w:tab w:val="num" w:pos="3840"/>
        </w:tabs>
        <w:ind w:left="3840" w:hanging="360"/>
      </w:pPr>
      <w:rPr>
        <w:rFonts w:cs="Arial"/>
      </w:rPr>
    </w:lvl>
    <w:lvl w:ilvl="5" w:tplc="0409001B">
      <w:start w:val="1"/>
      <w:numFmt w:val="lowerRoman"/>
      <w:lvlText w:val="%6."/>
      <w:lvlJc w:val="right"/>
      <w:pPr>
        <w:tabs>
          <w:tab w:val="num" w:pos="4560"/>
        </w:tabs>
        <w:ind w:left="4560" w:hanging="180"/>
      </w:pPr>
      <w:rPr>
        <w:rFonts w:cs="Arial"/>
      </w:rPr>
    </w:lvl>
    <w:lvl w:ilvl="6" w:tplc="0409000F">
      <w:start w:val="1"/>
      <w:numFmt w:val="decimal"/>
      <w:lvlText w:val="%7."/>
      <w:lvlJc w:val="left"/>
      <w:pPr>
        <w:tabs>
          <w:tab w:val="num" w:pos="5280"/>
        </w:tabs>
        <w:ind w:left="5280" w:hanging="360"/>
      </w:pPr>
      <w:rPr>
        <w:rFonts w:cs="Arial"/>
      </w:rPr>
    </w:lvl>
    <w:lvl w:ilvl="7" w:tplc="04090019">
      <w:start w:val="1"/>
      <w:numFmt w:val="lowerLetter"/>
      <w:lvlText w:val="%8."/>
      <w:lvlJc w:val="left"/>
      <w:pPr>
        <w:tabs>
          <w:tab w:val="num" w:pos="6000"/>
        </w:tabs>
        <w:ind w:left="6000" w:hanging="360"/>
      </w:pPr>
      <w:rPr>
        <w:rFonts w:cs="Arial"/>
      </w:rPr>
    </w:lvl>
    <w:lvl w:ilvl="8" w:tplc="0409001B">
      <w:start w:val="1"/>
      <w:numFmt w:val="lowerRoman"/>
      <w:lvlText w:val="%9."/>
      <w:lvlJc w:val="right"/>
      <w:pPr>
        <w:tabs>
          <w:tab w:val="num" w:pos="6720"/>
        </w:tabs>
        <w:ind w:left="6720" w:hanging="180"/>
      </w:pPr>
      <w:rPr>
        <w:rFonts w:cs="Arial"/>
      </w:rPr>
    </w:lvl>
  </w:abstractNum>
  <w:abstractNum w:abstractNumId="11" w15:restartNumberingAfterBreak="0">
    <w:nsid w:val="6C571B78"/>
    <w:multiLevelType w:val="hybridMultilevel"/>
    <w:tmpl w:val="079AF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Courier New" w:hAnsi="Courier New"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Courier New" w:hAnsi="Courier New" w:hint="default"/>
      </w:rPr>
    </w:lvl>
  </w:abstractNum>
  <w:abstractNum w:abstractNumId="12" w15:restartNumberingAfterBreak="0">
    <w:nsid w:val="7CA92220"/>
    <w:multiLevelType w:val="hybridMultilevel"/>
    <w:tmpl w:val="EA4C1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Courier New" w:hAnsi="Courier New"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Courier New" w:hAnsi="Courier New" w:hint="default"/>
      </w:rPr>
    </w:lvl>
  </w:abstractNum>
  <w:num w:numId="1">
    <w:abstractNumId w:val="1"/>
  </w:num>
  <w:num w:numId="2">
    <w:abstractNumId w:val="10"/>
  </w:num>
  <w:num w:numId="3">
    <w:abstractNumId w:val="2"/>
  </w:num>
  <w:num w:numId="4">
    <w:abstractNumId w:val="3"/>
  </w:num>
  <w:num w:numId="5">
    <w:abstractNumId w:val="5"/>
  </w:num>
  <w:num w:numId="6">
    <w:abstractNumId w:val="9"/>
  </w:num>
  <w:num w:numId="7">
    <w:abstractNumId w:val="8"/>
  </w:num>
  <w:num w:numId="8">
    <w:abstractNumId w:val="4"/>
  </w:num>
  <w:num w:numId="9">
    <w:abstractNumId w:val="12"/>
  </w:num>
  <w:num w:numId="10">
    <w:abstractNumId w:val="11"/>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4F"/>
    <w:rsid w:val="000308C3"/>
    <w:rsid w:val="00061267"/>
    <w:rsid w:val="00072CE1"/>
    <w:rsid w:val="00073440"/>
    <w:rsid w:val="00094379"/>
    <w:rsid w:val="000D71A6"/>
    <w:rsid w:val="000D7585"/>
    <w:rsid w:val="001148CF"/>
    <w:rsid w:val="001B4AC3"/>
    <w:rsid w:val="001D3043"/>
    <w:rsid w:val="001E224F"/>
    <w:rsid w:val="002743E3"/>
    <w:rsid w:val="002A3A59"/>
    <w:rsid w:val="002D3655"/>
    <w:rsid w:val="0037527F"/>
    <w:rsid w:val="003C6C0C"/>
    <w:rsid w:val="003E2CBA"/>
    <w:rsid w:val="003F1C0D"/>
    <w:rsid w:val="005B6B1D"/>
    <w:rsid w:val="005F6226"/>
    <w:rsid w:val="00623B35"/>
    <w:rsid w:val="006462B4"/>
    <w:rsid w:val="0071304B"/>
    <w:rsid w:val="00864F69"/>
    <w:rsid w:val="00874549"/>
    <w:rsid w:val="0087484C"/>
    <w:rsid w:val="00891DD2"/>
    <w:rsid w:val="008D2993"/>
    <w:rsid w:val="009271D1"/>
    <w:rsid w:val="00972520"/>
    <w:rsid w:val="009A5440"/>
    <w:rsid w:val="009B494D"/>
    <w:rsid w:val="009C515E"/>
    <w:rsid w:val="00A12AA7"/>
    <w:rsid w:val="00A63ACA"/>
    <w:rsid w:val="00AC3D48"/>
    <w:rsid w:val="00B15748"/>
    <w:rsid w:val="00B67DF4"/>
    <w:rsid w:val="00BA3874"/>
    <w:rsid w:val="00BA3D1F"/>
    <w:rsid w:val="00BC4ACC"/>
    <w:rsid w:val="00C27E85"/>
    <w:rsid w:val="00CD23D9"/>
    <w:rsid w:val="00CD6A30"/>
    <w:rsid w:val="00D10CBF"/>
    <w:rsid w:val="00D37735"/>
    <w:rsid w:val="00D7764B"/>
    <w:rsid w:val="00DB7844"/>
    <w:rsid w:val="00E025F3"/>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B4280C-4E1B-412B-807E-C3C4C02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E3"/>
    <w:pPr>
      <w:spacing w:after="0" w:line="240" w:lineRule="auto"/>
      <w:jc w:val="both"/>
    </w:pPr>
    <w:rPr>
      <w:rFonts w:ascii="Arial" w:hAnsi="Arial" w:cs="Courier New"/>
      <w:sz w:val="24"/>
      <w:szCs w:val="24"/>
      <w:lang w:eastAsia="en-US"/>
    </w:rPr>
  </w:style>
  <w:style w:type="paragraph" w:styleId="Heading1">
    <w:name w:val="heading 1"/>
    <w:basedOn w:val="Normal"/>
    <w:next w:val="Normal"/>
    <w:link w:val="Heading1Char"/>
    <w:uiPriority w:val="99"/>
    <w:qFormat/>
    <w:pPr>
      <w:keepNext/>
      <w:outlineLvl w:val="0"/>
    </w:pPr>
    <w:rPr>
      <w:sz w:val="40"/>
      <w:szCs w:val="4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Courier New"/>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Courier New"/>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Courier New"/>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Courier New"/>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440"/>
        <w:tab w:val="right" w:pos="900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440"/>
        <w:tab w:val="right" w:pos="900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Caption">
    <w:name w:val="caption"/>
    <w:basedOn w:val="Normal"/>
    <w:next w:val="Normal"/>
    <w:uiPriority w:val="99"/>
    <w:qFormat/>
    <w:rPr>
      <w:rFonts w:ascii="Times New Roman" w:hAnsi="Times New Roman" w:cs="Times New Roman"/>
      <w:b/>
      <w:bC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rPr>
      <w:rFonts w:ascii="Times New Roman" w:hAnsi="Times New Roman" w:cs="Times New Roman"/>
      <w:i/>
      <w:iCs/>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table" w:styleId="TableGrid">
    <w:name w:val="Table Grid"/>
    <w:basedOn w:val="TableNormal"/>
    <w:uiPriority w:val="99"/>
    <w:pPr>
      <w:overflowPunct w:val="0"/>
      <w:autoSpaceDE w:val="0"/>
      <w:autoSpaceDN w:val="0"/>
      <w:adjustRightInd w:val="0"/>
      <w:spacing w:after="0" w:line="240" w:lineRule="auto"/>
      <w:textAlignment w:val="baseline"/>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D48"/>
    <w:rPr>
      <w:rFonts w:ascii="Tahoma" w:hAnsi="Tahoma" w:cs="Tahoma"/>
      <w:sz w:val="16"/>
      <w:szCs w:val="16"/>
      <w:lang w:val="x-none"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CONDITIONS ATTACHED UNDER SECTION 22 OF THE GOODS VEHICLES (LICENSING OF OPERATORS) ACT 1995 – RESTRICTED LICENCES</vt:lpstr>
    </vt:vector>
  </TitlesOfParts>
  <Company>TAN</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ATTACHED UNDER SECTION 22 OF THE GOODS VEHICLES (LICENSING OF OPERATORS) ACT 1995 – RESTRICTED LICENCES</dc:title>
  <dc:subject/>
  <dc:creator>l</dc:creator>
  <cp:keywords/>
  <dc:description/>
  <cp:lastModifiedBy>IDT Moulding Solutions</cp:lastModifiedBy>
  <cp:revision>2</cp:revision>
  <cp:lastPrinted>2000-11-06T13:14:00Z</cp:lastPrinted>
  <dcterms:created xsi:type="dcterms:W3CDTF">2017-07-25T12:22:00Z</dcterms:created>
  <dcterms:modified xsi:type="dcterms:W3CDTF">2017-07-25T12:22:00Z</dcterms:modified>
</cp:coreProperties>
</file>